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B77CE">
      <w:pPr>
        <w:spacing w:after="156" w:afterLines="50"/>
        <w:ind w:right="-625"/>
        <w:rPr>
          <w:rFonts w:ascii="宋体" w:hAnsi="宋体" w:cs="宋体"/>
          <w:b/>
          <w:bCs/>
          <w:color w:val="auto"/>
          <w:w w:val="85"/>
          <w:sz w:val="44"/>
          <w:szCs w:val="44"/>
        </w:rPr>
      </w:pPr>
      <w:bookmarkStart w:id="0" w:name="OLE_LINK1"/>
    </w:p>
    <w:p w14:paraId="2CD8491C">
      <w:pPr>
        <w:spacing w:after="156" w:afterLines="50"/>
        <w:ind w:left="-850" w:leftChars="-405" w:right="-625"/>
        <w:jc w:val="center"/>
        <w:rPr>
          <w:rFonts w:hint="eastAsia" w:eastAsia="宋体"/>
          <w:color w:val="auto"/>
          <w:sz w:val="28"/>
          <w:szCs w:val="28"/>
          <w:lang w:eastAsia="zh-CN"/>
        </w:rPr>
      </w:pPr>
      <w:r>
        <w:rPr>
          <w:rFonts w:hint="eastAsia" w:ascii="宋体" w:hAnsi="宋体" w:cs="宋体"/>
          <w:b/>
          <w:bCs/>
          <w:color w:val="auto"/>
          <w:w w:val="85"/>
          <w:sz w:val="48"/>
          <w:szCs w:val="48"/>
          <w:lang w:eastAsia="zh-CN"/>
        </w:rPr>
        <w:t>滁州市兴滁实业有限公司磅房工作外包服务采购项目</w:t>
      </w:r>
    </w:p>
    <w:p w14:paraId="47AE0B09">
      <w:pPr>
        <w:rPr>
          <w:rFonts w:ascii="宋体"/>
          <w:bCs/>
          <w:color w:val="auto"/>
          <w:szCs w:val="21"/>
        </w:rPr>
      </w:pPr>
    </w:p>
    <w:p w14:paraId="3B722E9F">
      <w:pPr>
        <w:rPr>
          <w:rFonts w:ascii="宋体"/>
          <w:bCs/>
          <w:color w:val="auto"/>
          <w:szCs w:val="21"/>
        </w:rPr>
      </w:pPr>
    </w:p>
    <w:p w14:paraId="3FBF3C19">
      <w:pPr>
        <w:spacing w:line="360" w:lineRule="auto"/>
        <w:jc w:val="center"/>
        <w:rPr>
          <w:rFonts w:ascii="宋体" w:hAnsi="宋体" w:cs="宋体"/>
          <w:bCs/>
          <w:color w:val="auto"/>
          <w:sz w:val="96"/>
          <w:szCs w:val="96"/>
        </w:rPr>
      </w:pPr>
      <w:r>
        <w:rPr>
          <w:rFonts w:hint="eastAsia" w:ascii="宋体" w:hAnsi="宋体" w:cs="宋体"/>
          <w:b/>
          <w:color w:val="auto"/>
          <w:sz w:val="96"/>
          <w:szCs w:val="96"/>
        </w:rPr>
        <w:t>招 标 文 件</w:t>
      </w:r>
    </w:p>
    <w:p w14:paraId="4A7FD18D">
      <w:pPr>
        <w:pStyle w:val="2"/>
        <w:rPr>
          <w:rFonts w:hint="eastAsia" w:eastAsia="宋体"/>
          <w:color w:val="auto"/>
          <w:lang w:eastAsia="zh-CN"/>
        </w:rPr>
      </w:pPr>
      <w:r>
        <w:rPr>
          <w:rFonts w:hint="eastAsia" w:ascii="宋体" w:hAnsi="宋体" w:cs="宋体"/>
          <w:bCs/>
          <w:color w:val="auto"/>
          <w:sz w:val="24"/>
          <w:lang w:val="en-US" w:eastAsia="zh-CN"/>
        </w:rPr>
        <w:t xml:space="preserve"> </w:t>
      </w:r>
    </w:p>
    <w:p w14:paraId="4C460C2D">
      <w:pPr>
        <w:rPr>
          <w:color w:val="auto"/>
        </w:rPr>
      </w:pPr>
    </w:p>
    <w:p w14:paraId="404E689C">
      <w:pPr>
        <w:rPr>
          <w:rFonts w:ascii="宋体"/>
          <w:color w:val="auto"/>
          <w:sz w:val="28"/>
          <w:szCs w:val="28"/>
        </w:rPr>
      </w:pPr>
    </w:p>
    <w:p w14:paraId="5AC7B1AE">
      <w:pPr>
        <w:pStyle w:val="24"/>
        <w:rPr>
          <w:rFonts w:ascii="宋体"/>
          <w:color w:val="auto"/>
          <w:sz w:val="28"/>
          <w:szCs w:val="28"/>
        </w:rPr>
      </w:pPr>
    </w:p>
    <w:p w14:paraId="60AD9A94">
      <w:pPr>
        <w:pStyle w:val="24"/>
        <w:rPr>
          <w:rFonts w:ascii="宋体"/>
          <w:color w:val="auto"/>
          <w:sz w:val="28"/>
          <w:szCs w:val="28"/>
        </w:rPr>
      </w:pPr>
    </w:p>
    <w:p w14:paraId="1A3A1BB1">
      <w:pPr>
        <w:pStyle w:val="24"/>
        <w:rPr>
          <w:rFonts w:ascii="宋体"/>
          <w:color w:val="auto"/>
          <w:sz w:val="28"/>
          <w:szCs w:val="28"/>
        </w:rPr>
      </w:pPr>
    </w:p>
    <w:p w14:paraId="5E8494D3">
      <w:pPr>
        <w:pStyle w:val="24"/>
        <w:rPr>
          <w:rFonts w:ascii="宋体"/>
          <w:color w:val="auto"/>
          <w:sz w:val="28"/>
          <w:szCs w:val="28"/>
        </w:rPr>
      </w:pPr>
    </w:p>
    <w:p w14:paraId="10E23D28">
      <w:pPr>
        <w:pStyle w:val="24"/>
        <w:rPr>
          <w:rFonts w:ascii="宋体"/>
          <w:color w:val="auto"/>
          <w:sz w:val="28"/>
          <w:szCs w:val="28"/>
        </w:rPr>
      </w:pPr>
    </w:p>
    <w:p w14:paraId="1A1CC348">
      <w:pPr>
        <w:pStyle w:val="22"/>
        <w:rPr>
          <w:color w:val="auto"/>
        </w:rPr>
      </w:pPr>
    </w:p>
    <w:p w14:paraId="16CC41AD">
      <w:pPr>
        <w:rPr>
          <w:rFonts w:ascii="宋体"/>
          <w:b/>
          <w:color w:val="auto"/>
          <w:sz w:val="32"/>
          <w:szCs w:val="32"/>
        </w:rPr>
      </w:pPr>
    </w:p>
    <w:p w14:paraId="5F3801AE">
      <w:pPr>
        <w:pStyle w:val="2"/>
        <w:rPr>
          <w:color w:val="auto"/>
        </w:rPr>
      </w:pPr>
    </w:p>
    <w:p w14:paraId="5EEB095C">
      <w:pPr>
        <w:pStyle w:val="29"/>
        <w:rPr>
          <w:color w:val="auto"/>
        </w:rPr>
      </w:pPr>
    </w:p>
    <w:p w14:paraId="59179BFB">
      <w:pPr>
        <w:pStyle w:val="29"/>
        <w:rPr>
          <w:color w:val="auto"/>
        </w:rPr>
      </w:pPr>
    </w:p>
    <w:p w14:paraId="0291E64F">
      <w:pPr>
        <w:pStyle w:val="29"/>
        <w:rPr>
          <w:color w:val="auto"/>
        </w:rPr>
      </w:pPr>
    </w:p>
    <w:p w14:paraId="3725C439">
      <w:pPr>
        <w:pStyle w:val="29"/>
        <w:rPr>
          <w:color w:val="auto"/>
        </w:rPr>
      </w:pPr>
    </w:p>
    <w:p w14:paraId="7974D0E1">
      <w:pPr>
        <w:spacing w:line="900" w:lineRule="exact"/>
        <w:rPr>
          <w:rFonts w:ascii="宋体"/>
          <w:b/>
          <w:color w:val="auto"/>
          <w:sz w:val="32"/>
          <w:szCs w:val="32"/>
        </w:rPr>
      </w:pPr>
      <w:r>
        <w:rPr>
          <w:rFonts w:hint="eastAsia" w:ascii="宋体"/>
          <w:b/>
          <w:color w:val="auto"/>
          <w:sz w:val="32"/>
          <w:szCs w:val="32"/>
        </w:rPr>
        <w:t>招   标   人：</w:t>
      </w:r>
      <w:r>
        <w:rPr>
          <w:rFonts w:hint="eastAsia" w:ascii="宋体"/>
          <w:b/>
          <w:color w:val="auto"/>
          <w:sz w:val="32"/>
          <w:szCs w:val="32"/>
          <w:u w:val="single"/>
        </w:rPr>
        <w:t xml:space="preserve">   </w:t>
      </w:r>
      <w:r>
        <w:rPr>
          <w:rFonts w:hint="eastAsia" w:ascii="宋体"/>
          <w:b/>
          <w:color w:val="auto"/>
          <w:sz w:val="32"/>
          <w:szCs w:val="32"/>
          <w:u w:val="single"/>
          <w:lang w:eastAsia="zh-CN"/>
        </w:rPr>
        <w:t>滁州市兴滁实业有限公司</w:t>
      </w:r>
      <w:r>
        <w:rPr>
          <w:rFonts w:hint="eastAsia" w:ascii="宋体"/>
          <w:b/>
          <w:color w:val="auto"/>
          <w:sz w:val="32"/>
          <w:szCs w:val="32"/>
          <w:u w:val="single"/>
        </w:rPr>
        <w:t xml:space="preserve">   </w:t>
      </w:r>
      <w:r>
        <w:rPr>
          <w:rFonts w:hint="eastAsia" w:ascii="宋体"/>
          <w:b/>
          <w:color w:val="auto"/>
          <w:sz w:val="32"/>
          <w:szCs w:val="32"/>
        </w:rPr>
        <w:t>（盖单位章）</w:t>
      </w:r>
    </w:p>
    <w:p w14:paraId="41A12475">
      <w:pPr>
        <w:spacing w:line="900" w:lineRule="exact"/>
        <w:rPr>
          <w:rFonts w:ascii="宋体"/>
          <w:b/>
          <w:color w:val="auto"/>
          <w:sz w:val="32"/>
          <w:szCs w:val="32"/>
          <w:u w:val="single"/>
        </w:rPr>
      </w:pPr>
      <w:r>
        <w:rPr>
          <w:rFonts w:hint="eastAsia" w:ascii="宋体"/>
          <w:b/>
          <w:color w:val="auto"/>
          <w:sz w:val="32"/>
          <w:szCs w:val="32"/>
        </w:rPr>
        <w:t>招标代理机构：</w:t>
      </w:r>
      <w:r>
        <w:rPr>
          <w:rFonts w:hint="eastAsia" w:ascii="宋体"/>
          <w:b/>
          <w:color w:val="auto"/>
          <w:sz w:val="32"/>
          <w:szCs w:val="32"/>
          <w:u w:val="single"/>
        </w:rPr>
        <w:t>滁州市城投工程咨询管理有限公司</w:t>
      </w:r>
      <w:r>
        <w:rPr>
          <w:rFonts w:hint="eastAsia" w:ascii="宋体"/>
          <w:b/>
          <w:color w:val="auto"/>
          <w:sz w:val="32"/>
          <w:szCs w:val="32"/>
        </w:rPr>
        <w:t>（盖单位章）</w:t>
      </w:r>
    </w:p>
    <w:p w14:paraId="1D0C7307">
      <w:pPr>
        <w:spacing w:line="900" w:lineRule="exact"/>
        <w:jc w:val="center"/>
        <w:rPr>
          <w:rFonts w:ascii="宋体"/>
          <w:b/>
          <w:color w:val="auto"/>
          <w:sz w:val="32"/>
          <w:szCs w:val="32"/>
        </w:rPr>
      </w:pPr>
      <w:r>
        <w:rPr>
          <w:rFonts w:hint="eastAsia" w:ascii="宋体"/>
          <w:b/>
          <w:color w:val="auto"/>
          <w:sz w:val="32"/>
          <w:szCs w:val="32"/>
          <w:u w:val="single"/>
        </w:rPr>
        <w:t>202</w:t>
      </w:r>
      <w:r>
        <w:rPr>
          <w:rFonts w:hint="eastAsia" w:ascii="宋体"/>
          <w:b/>
          <w:color w:val="auto"/>
          <w:sz w:val="32"/>
          <w:szCs w:val="32"/>
          <w:u w:val="single"/>
          <w:lang w:val="en-US" w:eastAsia="zh-CN"/>
        </w:rPr>
        <w:t>6</w:t>
      </w:r>
      <w:r>
        <w:rPr>
          <w:rFonts w:hint="eastAsia" w:ascii="宋体"/>
          <w:b/>
          <w:color w:val="auto"/>
          <w:sz w:val="32"/>
          <w:szCs w:val="32"/>
        </w:rPr>
        <w:t>年</w:t>
      </w:r>
      <w:r>
        <w:rPr>
          <w:rFonts w:hint="eastAsia" w:ascii="宋体"/>
          <w:b/>
          <w:color w:val="auto"/>
          <w:sz w:val="32"/>
          <w:szCs w:val="32"/>
          <w:u w:val="single"/>
        </w:rPr>
        <w:t xml:space="preserve"> </w:t>
      </w:r>
      <w:r>
        <w:rPr>
          <w:rFonts w:hint="eastAsia" w:ascii="宋体"/>
          <w:b/>
          <w:color w:val="auto"/>
          <w:sz w:val="32"/>
          <w:szCs w:val="32"/>
          <w:u w:val="single"/>
          <w:lang w:val="en-US" w:eastAsia="zh-CN"/>
        </w:rPr>
        <w:t>5</w:t>
      </w:r>
      <w:r>
        <w:rPr>
          <w:rFonts w:hint="eastAsia" w:ascii="宋体"/>
          <w:b/>
          <w:color w:val="auto"/>
          <w:sz w:val="32"/>
          <w:szCs w:val="32"/>
        </w:rPr>
        <w:t>月</w:t>
      </w:r>
    </w:p>
    <w:p w14:paraId="11940E33">
      <w:pPr>
        <w:spacing w:line="360" w:lineRule="exact"/>
        <w:rPr>
          <w:b/>
          <w:color w:val="auto"/>
          <w:sz w:val="36"/>
        </w:rPr>
      </w:pPr>
    </w:p>
    <w:p w14:paraId="11D8DEB2">
      <w:pPr>
        <w:spacing w:line="360" w:lineRule="exact"/>
        <w:jc w:val="center"/>
        <w:rPr>
          <w:b/>
          <w:color w:val="auto"/>
          <w:sz w:val="36"/>
        </w:rPr>
      </w:pPr>
      <w:r>
        <w:rPr>
          <w:rFonts w:hint="eastAsia"/>
          <w:b/>
          <w:color w:val="auto"/>
          <w:sz w:val="36"/>
        </w:rPr>
        <w:br w:type="page"/>
      </w:r>
    </w:p>
    <w:p w14:paraId="31668C46">
      <w:pPr>
        <w:spacing w:line="360" w:lineRule="exact"/>
        <w:jc w:val="center"/>
        <w:rPr>
          <w:b/>
          <w:color w:val="auto"/>
          <w:sz w:val="36"/>
        </w:rPr>
      </w:pPr>
      <w:r>
        <w:rPr>
          <w:rFonts w:hint="eastAsia"/>
          <w:b/>
          <w:color w:val="auto"/>
          <w:sz w:val="36"/>
        </w:rPr>
        <w:t>目  录</w:t>
      </w:r>
    </w:p>
    <w:p w14:paraId="7C7066CB">
      <w:pPr>
        <w:spacing w:line="360" w:lineRule="exact"/>
        <w:jc w:val="center"/>
        <w:rPr>
          <w:b/>
          <w:color w:val="auto"/>
          <w:sz w:val="36"/>
        </w:rPr>
      </w:pPr>
    </w:p>
    <w:p w14:paraId="56A10D92">
      <w:pPr>
        <w:pStyle w:val="27"/>
        <w:tabs>
          <w:tab w:val="right" w:leader="dot" w:pos="8296"/>
        </w:tabs>
        <w:spacing w:before="156" w:beforeLines="50" w:after="156" w:afterLines="50" w:line="500" w:lineRule="exact"/>
        <w:rPr>
          <w:rFonts w:ascii="宋体" w:hAnsi="宋体"/>
          <w:b/>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TOC \o "1-3" \h \z \u </w:instrText>
      </w:r>
      <w:r>
        <w:rPr>
          <w:rFonts w:hint="eastAsia" w:ascii="宋体" w:hAnsi="宋体" w:cs="宋体"/>
          <w:color w:val="auto"/>
          <w:sz w:val="24"/>
        </w:rPr>
        <w:fldChar w:fldCharType="separate"/>
      </w:r>
      <w:r>
        <w:rPr>
          <w:color w:val="auto"/>
        </w:rPr>
        <w:fldChar w:fldCharType="begin"/>
      </w:r>
      <w:r>
        <w:rPr>
          <w:color w:val="auto"/>
        </w:rPr>
        <w:instrText xml:space="preserve"> HYPERLINK \l "_Toc58430304" </w:instrText>
      </w:r>
      <w:r>
        <w:rPr>
          <w:color w:val="auto"/>
        </w:rPr>
        <w:fldChar w:fldCharType="separate"/>
      </w:r>
      <w:r>
        <w:rPr>
          <w:rStyle w:val="47"/>
          <w:rFonts w:hint="eastAsia" w:ascii="宋体" w:hAnsi="宋体"/>
          <w:b/>
          <w:color w:val="auto"/>
          <w:sz w:val="24"/>
        </w:rPr>
        <w:t>第一章</w:t>
      </w:r>
      <w:r>
        <w:rPr>
          <w:rStyle w:val="47"/>
          <w:rFonts w:ascii="宋体" w:hAnsi="宋体"/>
          <w:b/>
          <w:color w:val="auto"/>
          <w:sz w:val="24"/>
        </w:rPr>
        <w:t xml:space="preserve"> </w:t>
      </w:r>
      <w:r>
        <w:rPr>
          <w:rStyle w:val="47"/>
          <w:rFonts w:hint="eastAsia" w:ascii="宋体" w:hAnsi="宋体"/>
          <w:b/>
          <w:color w:val="auto"/>
          <w:sz w:val="24"/>
        </w:rPr>
        <w:t>招标公告</w:t>
      </w:r>
      <w:r>
        <w:rPr>
          <w:rFonts w:ascii="宋体" w:hAnsi="宋体"/>
          <w:b/>
          <w:color w:val="auto"/>
          <w:sz w:val="24"/>
        </w:rPr>
        <w:tab/>
      </w:r>
      <w:r>
        <w:rPr>
          <w:rFonts w:hint="eastAsia" w:ascii="宋体" w:hAnsi="宋体"/>
          <w:b/>
          <w:color w:val="auto"/>
          <w:sz w:val="24"/>
        </w:rPr>
        <w:t>1</w:t>
      </w:r>
      <w:r>
        <w:rPr>
          <w:rFonts w:hint="eastAsia" w:ascii="宋体" w:hAnsi="宋体"/>
          <w:b/>
          <w:color w:val="auto"/>
          <w:sz w:val="24"/>
        </w:rPr>
        <w:fldChar w:fldCharType="end"/>
      </w:r>
    </w:p>
    <w:p w14:paraId="526C863D">
      <w:pPr>
        <w:pStyle w:val="27"/>
        <w:tabs>
          <w:tab w:val="right" w:leader="dot" w:pos="8296"/>
        </w:tabs>
        <w:spacing w:before="156" w:beforeLines="50" w:after="156" w:afterLines="50" w:line="500" w:lineRule="exact"/>
        <w:rPr>
          <w:rFonts w:ascii="宋体" w:hAnsi="宋体"/>
          <w:b/>
          <w:color w:val="auto"/>
          <w:sz w:val="24"/>
        </w:rPr>
      </w:pPr>
      <w:r>
        <w:rPr>
          <w:color w:val="auto"/>
        </w:rPr>
        <w:fldChar w:fldCharType="begin"/>
      </w:r>
      <w:r>
        <w:rPr>
          <w:color w:val="auto"/>
        </w:rPr>
        <w:instrText xml:space="preserve"> HYPERLINK \l "_Toc58430313" </w:instrText>
      </w:r>
      <w:r>
        <w:rPr>
          <w:color w:val="auto"/>
        </w:rPr>
        <w:fldChar w:fldCharType="separate"/>
      </w:r>
      <w:r>
        <w:rPr>
          <w:rStyle w:val="47"/>
          <w:rFonts w:hint="eastAsia" w:ascii="宋体" w:hAnsi="宋体"/>
          <w:b/>
          <w:color w:val="auto"/>
          <w:sz w:val="24"/>
        </w:rPr>
        <w:t>第二章</w:t>
      </w:r>
      <w:r>
        <w:rPr>
          <w:rStyle w:val="47"/>
          <w:rFonts w:ascii="宋体" w:hAnsi="宋体"/>
          <w:b/>
          <w:color w:val="auto"/>
          <w:sz w:val="24"/>
        </w:rPr>
        <w:t xml:space="preserve"> </w:t>
      </w:r>
      <w:r>
        <w:rPr>
          <w:rStyle w:val="47"/>
          <w:rFonts w:hint="eastAsia" w:ascii="宋体" w:hAnsi="宋体"/>
          <w:b/>
          <w:color w:val="auto"/>
          <w:sz w:val="24"/>
        </w:rPr>
        <w:t>投标人须知</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rPr>
        <w:t>5</w:t>
      </w:r>
    </w:p>
    <w:p w14:paraId="2E10A08E">
      <w:pPr>
        <w:pStyle w:val="27"/>
        <w:tabs>
          <w:tab w:val="right" w:leader="dot" w:pos="8296"/>
        </w:tabs>
        <w:spacing w:before="156" w:beforeLines="50" w:after="156" w:afterLines="50" w:line="500" w:lineRule="exact"/>
        <w:rPr>
          <w:rFonts w:ascii="宋体" w:hAnsi="宋体"/>
          <w:b/>
          <w:color w:val="auto"/>
          <w:sz w:val="24"/>
        </w:rPr>
      </w:pPr>
      <w:r>
        <w:rPr>
          <w:color w:val="auto"/>
        </w:rPr>
        <w:fldChar w:fldCharType="begin"/>
      </w:r>
      <w:r>
        <w:rPr>
          <w:color w:val="auto"/>
        </w:rPr>
        <w:instrText xml:space="preserve"> HYPERLINK \l "_Toc58430316" </w:instrText>
      </w:r>
      <w:r>
        <w:rPr>
          <w:color w:val="auto"/>
        </w:rPr>
        <w:fldChar w:fldCharType="separate"/>
      </w:r>
      <w:r>
        <w:rPr>
          <w:rStyle w:val="47"/>
          <w:rFonts w:hint="eastAsia" w:ascii="宋体" w:hAnsi="宋体"/>
          <w:b/>
          <w:color w:val="auto"/>
          <w:sz w:val="24"/>
        </w:rPr>
        <w:t>第三章</w:t>
      </w:r>
      <w:r>
        <w:rPr>
          <w:rStyle w:val="47"/>
          <w:rFonts w:ascii="宋体" w:hAnsi="宋体"/>
          <w:b/>
          <w:color w:val="auto"/>
          <w:sz w:val="24"/>
        </w:rPr>
        <w:t xml:space="preserve"> </w:t>
      </w:r>
      <w:r>
        <w:rPr>
          <w:rStyle w:val="47"/>
          <w:rFonts w:hint="eastAsia" w:ascii="宋体" w:hAnsi="宋体"/>
          <w:b/>
          <w:color w:val="auto"/>
          <w:sz w:val="24"/>
        </w:rPr>
        <w:t>评标办法</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rPr>
        <w:t>19</w:t>
      </w:r>
    </w:p>
    <w:p w14:paraId="756FF240">
      <w:pPr>
        <w:pStyle w:val="27"/>
        <w:tabs>
          <w:tab w:val="right" w:leader="dot" w:pos="8296"/>
        </w:tabs>
        <w:spacing w:before="156" w:beforeLines="50" w:after="156" w:afterLines="50" w:line="500" w:lineRule="exact"/>
        <w:rPr>
          <w:rFonts w:hint="eastAsia" w:ascii="宋体" w:hAnsi="宋体" w:eastAsia="宋体"/>
          <w:b/>
          <w:color w:val="auto"/>
          <w:sz w:val="24"/>
          <w:lang w:eastAsia="zh-CN"/>
        </w:rPr>
      </w:pPr>
      <w:r>
        <w:rPr>
          <w:color w:val="auto"/>
        </w:rPr>
        <w:fldChar w:fldCharType="begin"/>
      </w:r>
      <w:r>
        <w:rPr>
          <w:color w:val="auto"/>
        </w:rPr>
        <w:instrText xml:space="preserve"> HYPERLINK \l "_Toc58430328" </w:instrText>
      </w:r>
      <w:r>
        <w:rPr>
          <w:color w:val="auto"/>
        </w:rPr>
        <w:fldChar w:fldCharType="separate"/>
      </w:r>
      <w:r>
        <w:rPr>
          <w:rStyle w:val="47"/>
          <w:rFonts w:hint="eastAsia" w:ascii="宋体" w:hAnsi="宋体"/>
          <w:b/>
          <w:color w:val="auto"/>
          <w:sz w:val="24"/>
        </w:rPr>
        <w:t>第四章</w:t>
      </w:r>
      <w:r>
        <w:rPr>
          <w:rStyle w:val="47"/>
          <w:rFonts w:ascii="宋体" w:hAnsi="宋体"/>
          <w:b/>
          <w:color w:val="auto"/>
          <w:sz w:val="24"/>
        </w:rPr>
        <w:t xml:space="preserve"> </w:t>
      </w:r>
      <w:r>
        <w:rPr>
          <w:rStyle w:val="47"/>
          <w:rFonts w:hint="eastAsia" w:ascii="宋体" w:hAnsi="宋体"/>
          <w:b/>
          <w:color w:val="auto"/>
          <w:sz w:val="24"/>
        </w:rPr>
        <w:t>采购需求</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rPr>
        <w:t>2</w:t>
      </w:r>
      <w:r>
        <w:rPr>
          <w:rFonts w:hint="eastAsia" w:ascii="宋体" w:hAnsi="宋体"/>
          <w:b/>
          <w:color w:val="auto"/>
          <w:sz w:val="24"/>
          <w:lang w:val="en-US" w:eastAsia="zh-CN"/>
        </w:rPr>
        <w:t>5</w:t>
      </w:r>
    </w:p>
    <w:p w14:paraId="0BD5CD36">
      <w:pPr>
        <w:pStyle w:val="27"/>
        <w:tabs>
          <w:tab w:val="right" w:leader="dot" w:pos="8296"/>
        </w:tabs>
        <w:spacing w:before="156" w:beforeLines="50" w:after="156" w:afterLines="50" w:line="500" w:lineRule="exact"/>
        <w:rPr>
          <w:rFonts w:hint="eastAsia" w:ascii="宋体" w:hAnsi="宋体" w:eastAsia="宋体"/>
          <w:b/>
          <w:color w:val="auto"/>
          <w:sz w:val="24"/>
          <w:lang w:eastAsia="zh-CN"/>
        </w:rPr>
      </w:pPr>
      <w:r>
        <w:rPr>
          <w:rFonts w:hint="eastAsia" w:ascii="宋体" w:hAnsi="宋体"/>
          <w:b/>
          <w:color w:val="auto"/>
          <w:sz w:val="24"/>
        </w:rPr>
        <w:t>第五章 合同条款</w:t>
      </w:r>
      <w:r>
        <w:rPr>
          <w:rFonts w:ascii="宋体" w:hAnsi="宋体"/>
          <w:b/>
          <w:color w:val="auto"/>
          <w:sz w:val="24"/>
        </w:rPr>
        <w:tab/>
      </w:r>
      <w:r>
        <w:rPr>
          <w:rFonts w:hint="eastAsia" w:ascii="宋体" w:hAnsi="宋体"/>
          <w:b/>
          <w:color w:val="auto"/>
          <w:sz w:val="24"/>
        </w:rPr>
        <w:t>3</w:t>
      </w:r>
      <w:r>
        <w:rPr>
          <w:rFonts w:hint="eastAsia" w:ascii="宋体" w:hAnsi="宋体"/>
          <w:b/>
          <w:color w:val="auto"/>
          <w:sz w:val="24"/>
          <w:lang w:val="en-US" w:eastAsia="zh-CN"/>
        </w:rPr>
        <w:t>0</w:t>
      </w:r>
    </w:p>
    <w:p w14:paraId="08D46986">
      <w:pPr>
        <w:pStyle w:val="27"/>
        <w:tabs>
          <w:tab w:val="right" w:leader="dot" w:pos="8296"/>
        </w:tabs>
        <w:spacing w:before="156" w:beforeLines="50" w:after="156" w:afterLines="50" w:line="500" w:lineRule="exact"/>
        <w:rPr>
          <w:rFonts w:hint="default" w:ascii="宋体" w:hAnsi="宋体" w:eastAsia="宋体"/>
          <w:b/>
          <w:color w:val="auto"/>
          <w:sz w:val="24"/>
          <w:lang w:val="en-US" w:eastAsia="zh-CN"/>
        </w:rPr>
      </w:pPr>
      <w:r>
        <w:rPr>
          <w:color w:val="auto"/>
        </w:rPr>
        <w:fldChar w:fldCharType="begin"/>
      </w:r>
      <w:r>
        <w:rPr>
          <w:color w:val="auto"/>
        </w:rPr>
        <w:instrText xml:space="preserve"> HYPERLINK \l "_Toc58430332" </w:instrText>
      </w:r>
      <w:r>
        <w:rPr>
          <w:color w:val="auto"/>
        </w:rPr>
        <w:fldChar w:fldCharType="separate"/>
      </w:r>
      <w:r>
        <w:rPr>
          <w:rStyle w:val="47"/>
          <w:rFonts w:hint="eastAsia" w:ascii="宋体" w:hAnsi="宋体"/>
          <w:b/>
          <w:color w:val="auto"/>
          <w:sz w:val="24"/>
        </w:rPr>
        <w:t>第六章</w:t>
      </w:r>
      <w:r>
        <w:rPr>
          <w:rStyle w:val="47"/>
          <w:rFonts w:ascii="宋体" w:hAnsi="宋体"/>
          <w:b/>
          <w:color w:val="auto"/>
          <w:sz w:val="24"/>
        </w:rPr>
        <w:t xml:space="preserve"> </w:t>
      </w:r>
      <w:r>
        <w:rPr>
          <w:rStyle w:val="47"/>
          <w:rFonts w:hint="eastAsia" w:ascii="宋体" w:hAnsi="宋体"/>
          <w:b/>
          <w:color w:val="auto"/>
          <w:sz w:val="24"/>
        </w:rPr>
        <w:t>投标文件格式</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38</w:t>
      </w:r>
    </w:p>
    <w:p w14:paraId="35E73014">
      <w:pPr>
        <w:pStyle w:val="27"/>
        <w:tabs>
          <w:tab w:val="right" w:leader="dot" w:pos="8296"/>
        </w:tabs>
        <w:adjustRightInd w:val="0"/>
        <w:snapToGrid w:val="0"/>
        <w:spacing w:before="156" w:beforeLines="50" w:after="156" w:afterLines="50" w:line="500" w:lineRule="exact"/>
        <w:ind w:left="120" w:hanging="120" w:hangingChars="50"/>
        <w:jc w:val="center"/>
        <w:rPr>
          <w:rFonts w:ascii="宋体"/>
          <w:b/>
          <w:bCs/>
          <w:color w:val="auto"/>
          <w:sz w:val="32"/>
          <w:szCs w:val="32"/>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rPr>
        <w:fldChar w:fldCharType="end"/>
      </w:r>
    </w:p>
    <w:p w14:paraId="26C6180F">
      <w:pPr>
        <w:spacing w:before="156" w:beforeLines="50" w:after="156" w:afterLines="50" w:line="600" w:lineRule="exact"/>
        <w:jc w:val="center"/>
        <w:outlineLvl w:val="0"/>
        <w:rPr>
          <w:rFonts w:ascii="宋体"/>
          <w:b/>
          <w:color w:val="auto"/>
          <w:sz w:val="32"/>
          <w:szCs w:val="32"/>
        </w:rPr>
      </w:pPr>
      <w:bookmarkStart w:id="1" w:name="_Toc58430304"/>
      <w:r>
        <w:rPr>
          <w:rFonts w:hint="eastAsia" w:ascii="宋体"/>
          <w:b/>
          <w:color w:val="auto"/>
          <w:sz w:val="32"/>
          <w:szCs w:val="32"/>
        </w:rPr>
        <w:t xml:space="preserve">第一章  </w:t>
      </w:r>
      <w:bookmarkEnd w:id="1"/>
      <w:r>
        <w:rPr>
          <w:rFonts w:hint="eastAsia" w:ascii="宋体"/>
          <w:b/>
          <w:color w:val="auto"/>
          <w:sz w:val="32"/>
          <w:szCs w:val="32"/>
        </w:rPr>
        <w:t>招标公告</w:t>
      </w:r>
    </w:p>
    <w:p w14:paraId="219D8D0B">
      <w:pPr>
        <w:keepNext/>
        <w:keepLines/>
        <w:ind w:firstLine="560" w:firstLineChars="200"/>
        <w:rPr>
          <w:rFonts w:ascii="仿宋" w:hAnsi="仿宋" w:eastAsia="仿宋" w:cs="仿宋"/>
          <w:color w:val="auto"/>
          <w:sz w:val="28"/>
          <w:szCs w:val="28"/>
        </w:rPr>
      </w:pPr>
      <w:bookmarkStart w:id="2" w:name="_Toc58430313"/>
      <w:r>
        <w:rPr>
          <w:rFonts w:hint="eastAsia" w:ascii="仿宋" w:hAnsi="仿宋" w:eastAsia="仿宋" w:cs="仿宋"/>
          <w:color w:val="auto"/>
          <w:sz w:val="28"/>
          <w:szCs w:val="28"/>
        </w:rPr>
        <w:t>项目概况</w:t>
      </w:r>
    </w:p>
    <w:p w14:paraId="2BCA7D54">
      <w:pPr>
        <w:keepNext/>
        <w:keepLines/>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u w:val="single"/>
          <w:lang w:eastAsia="zh-CN"/>
        </w:rPr>
        <w:t>滁州市兴滁实业有限公司磅房工作外包服务采购项目</w:t>
      </w:r>
      <w:r>
        <w:rPr>
          <w:rFonts w:hint="eastAsia" w:ascii="仿宋" w:hAnsi="仿宋" w:eastAsia="仿宋" w:cs="仿宋"/>
          <w:color w:val="auto"/>
          <w:sz w:val="28"/>
          <w:szCs w:val="28"/>
        </w:rPr>
        <w:t>的潜在投标人可在</w:t>
      </w:r>
      <w:r>
        <w:rPr>
          <w:rFonts w:hint="eastAsia" w:ascii="仿宋" w:hAnsi="仿宋" w:eastAsia="仿宋" w:cs="宋体"/>
          <w:color w:val="auto"/>
          <w:sz w:val="28"/>
          <w:szCs w:val="28"/>
          <w:u w:val="single"/>
        </w:rPr>
        <w:t>滁州市兴滁矿业投资集团有限公司网站（http://www.xckytz.com/index.html）</w:t>
      </w:r>
      <w:r>
        <w:rPr>
          <w:rFonts w:hint="eastAsia" w:ascii="仿宋" w:hAnsi="仿宋" w:eastAsia="仿宋" w:cs="宋体"/>
          <w:color w:val="auto"/>
          <w:sz w:val="28"/>
          <w:szCs w:val="28"/>
          <w:u w:val="single"/>
          <w:lang w:eastAsia="zh-CN"/>
        </w:rPr>
        <w:t>、</w:t>
      </w:r>
      <w:r>
        <w:rPr>
          <w:rFonts w:hint="eastAsia" w:ascii="仿宋" w:hAnsi="仿宋" w:eastAsia="仿宋" w:cs="仿宋"/>
          <w:color w:val="auto"/>
          <w:sz w:val="28"/>
          <w:szCs w:val="28"/>
          <w:u w:val="single"/>
        </w:rPr>
        <w:t>滁州市城投工程咨询管理有限公司</w:t>
      </w:r>
      <w:r>
        <w:rPr>
          <w:rFonts w:hint="eastAsia" w:ascii="仿宋" w:hAnsi="仿宋" w:eastAsia="仿宋" w:cs="仿宋"/>
          <w:color w:val="auto"/>
          <w:sz w:val="28"/>
          <w:szCs w:val="28"/>
          <w:u w:val="single"/>
          <w:lang w:val="en-US" w:eastAsia="zh-CN"/>
        </w:rPr>
        <w:t>网站</w:t>
      </w:r>
      <w:r>
        <w:rPr>
          <w:rFonts w:hint="eastAsia" w:ascii="仿宋" w:hAnsi="仿宋" w:eastAsia="仿宋" w:cs="宋体"/>
          <w:color w:val="auto"/>
          <w:sz w:val="28"/>
          <w:szCs w:val="28"/>
          <w:u w:val="single"/>
          <w:lang w:val="en-US" w:eastAsia="zh-CN"/>
        </w:rPr>
        <w:t>（https://www.czctgczx.com/）</w:t>
      </w:r>
      <w:r>
        <w:rPr>
          <w:rFonts w:hint="eastAsia" w:ascii="仿宋" w:hAnsi="仿宋" w:eastAsia="仿宋" w:cs="仿宋"/>
          <w:color w:val="auto"/>
          <w:sz w:val="28"/>
          <w:szCs w:val="28"/>
        </w:rPr>
        <w:t>获取招标文件，并于</w:t>
      </w:r>
      <w:r>
        <w:rPr>
          <w:rFonts w:hint="eastAsia" w:ascii="仿宋" w:hAnsi="仿宋" w:eastAsia="仿宋" w:cs="仿宋"/>
          <w:color w:val="auto"/>
          <w:sz w:val="28"/>
          <w:szCs w:val="28"/>
          <w:u w:val="single"/>
        </w:rPr>
        <w:t>202</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rPr>
        <w:t>年</w:t>
      </w:r>
      <w:r>
        <w:rPr>
          <w:rFonts w:hint="eastAsia" w:ascii="仿宋" w:hAnsi="仿宋" w:eastAsia="仿宋" w:cs="仿宋"/>
          <w:color w:val="auto"/>
          <w:sz w:val="28"/>
          <w:szCs w:val="28"/>
          <w:u w:val="single"/>
          <w:lang w:val="en-US" w:eastAsia="zh-CN"/>
        </w:rPr>
        <w:t>5</w:t>
      </w:r>
      <w:r>
        <w:rPr>
          <w:rFonts w:hint="eastAsia" w:ascii="仿宋" w:hAnsi="仿宋" w:eastAsia="仿宋" w:cs="仿宋"/>
          <w:color w:val="auto"/>
          <w:sz w:val="28"/>
          <w:szCs w:val="28"/>
          <w:u w:val="single"/>
        </w:rPr>
        <w:t>月</w:t>
      </w:r>
      <w:r>
        <w:rPr>
          <w:rFonts w:hint="eastAsia" w:ascii="仿宋" w:hAnsi="仿宋" w:eastAsia="仿宋" w:cs="仿宋"/>
          <w:color w:val="auto"/>
          <w:sz w:val="28"/>
          <w:szCs w:val="28"/>
          <w:u w:val="single"/>
          <w:lang w:val="en-US" w:eastAsia="zh-CN"/>
        </w:rPr>
        <w:t>15</w:t>
      </w:r>
      <w:r>
        <w:rPr>
          <w:rFonts w:hint="eastAsia" w:ascii="仿宋" w:hAnsi="仿宋" w:eastAsia="仿宋" w:cs="仿宋"/>
          <w:color w:val="auto"/>
          <w:sz w:val="28"/>
          <w:szCs w:val="28"/>
          <w:u w:val="single"/>
        </w:rPr>
        <w:t>日</w:t>
      </w:r>
      <w:r>
        <w:rPr>
          <w:rFonts w:hint="eastAsia" w:ascii="仿宋" w:hAnsi="仿宋" w:eastAsia="仿宋" w:cs="仿宋"/>
          <w:color w:val="auto"/>
          <w:sz w:val="28"/>
          <w:szCs w:val="28"/>
          <w:u w:val="single"/>
          <w:lang w:val="en-US" w:eastAsia="zh-CN"/>
        </w:rPr>
        <w:t>9</w:t>
      </w:r>
      <w:r>
        <w:rPr>
          <w:rFonts w:hint="eastAsia" w:ascii="仿宋" w:hAnsi="仿宋" w:eastAsia="仿宋" w:cs="仿宋"/>
          <w:color w:val="auto"/>
          <w:sz w:val="28"/>
          <w:szCs w:val="28"/>
          <w:u w:val="single"/>
        </w:rPr>
        <w:t>点</w:t>
      </w:r>
      <w:r>
        <w:rPr>
          <w:rFonts w:hint="eastAsia" w:ascii="仿宋" w:hAnsi="仿宋" w:eastAsia="仿宋" w:cs="仿宋"/>
          <w:color w:val="auto"/>
          <w:sz w:val="28"/>
          <w:szCs w:val="28"/>
          <w:u w:val="single"/>
          <w:lang w:val="en-US" w:eastAsia="zh-CN"/>
        </w:rPr>
        <w:t>00</w:t>
      </w:r>
      <w:r>
        <w:rPr>
          <w:rFonts w:hint="eastAsia" w:ascii="仿宋" w:hAnsi="仿宋" w:eastAsia="仿宋" w:cs="仿宋"/>
          <w:color w:val="auto"/>
          <w:sz w:val="28"/>
          <w:szCs w:val="28"/>
          <w:u w:val="single"/>
        </w:rPr>
        <w:t>分</w:t>
      </w:r>
      <w:r>
        <w:rPr>
          <w:rFonts w:hint="eastAsia" w:ascii="仿宋" w:hAnsi="仿宋" w:eastAsia="仿宋" w:cs="仿宋"/>
          <w:color w:val="auto"/>
          <w:sz w:val="28"/>
          <w:szCs w:val="28"/>
        </w:rPr>
        <w:t>（北京时间）前递交投标文件。</w:t>
      </w:r>
    </w:p>
    <w:p w14:paraId="446630A3">
      <w:pPr>
        <w:keepNext/>
        <w:keepLines/>
        <w:spacing w:before="160" w:after="160"/>
        <w:rPr>
          <w:rFonts w:ascii="黑体" w:hAnsi="黑体" w:eastAsia="黑体" w:cs="黑体"/>
          <w:color w:val="auto"/>
          <w:sz w:val="28"/>
          <w:szCs w:val="28"/>
        </w:rPr>
      </w:pPr>
      <w:r>
        <w:rPr>
          <w:rFonts w:hint="eastAsia" w:ascii="黑体" w:hAnsi="黑体" w:eastAsia="黑体" w:cs="黑体"/>
          <w:color w:val="auto"/>
          <w:sz w:val="28"/>
          <w:szCs w:val="28"/>
        </w:rPr>
        <w:t>一、项目基本情况</w:t>
      </w:r>
    </w:p>
    <w:p w14:paraId="6A7BF4F3">
      <w:pPr>
        <w:keepNext/>
        <w:keepLines/>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滁州市兴滁实业有限公司磅房工作外包服务采购项目</w:t>
      </w:r>
    </w:p>
    <w:p w14:paraId="302FE9BA">
      <w:pPr>
        <w:keepNext/>
        <w:keepLine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预算金额：15</w:t>
      </w:r>
      <w:r>
        <w:rPr>
          <w:rFonts w:hint="eastAsia" w:ascii="仿宋" w:hAnsi="仿宋" w:eastAsia="仿宋" w:cs="仿宋"/>
          <w:color w:val="auto"/>
          <w:sz w:val="28"/>
          <w:szCs w:val="28"/>
          <w:lang w:val="en-US" w:eastAsia="zh-CN"/>
        </w:rPr>
        <w:t>0000.00</w:t>
      </w:r>
      <w:r>
        <w:rPr>
          <w:rFonts w:hint="eastAsia" w:ascii="仿宋" w:hAnsi="仿宋" w:eastAsia="仿宋" w:cs="仿宋"/>
          <w:color w:val="auto"/>
          <w:sz w:val="28"/>
          <w:szCs w:val="28"/>
        </w:rPr>
        <w:t xml:space="preserve">元/年/磅房  </w:t>
      </w:r>
    </w:p>
    <w:p w14:paraId="5C228617">
      <w:pPr>
        <w:keepNext/>
        <w:keepLine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最高限价：150000.00元/年/磅房  </w:t>
      </w:r>
    </w:p>
    <w:p w14:paraId="3D86EAE3">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采购需求：磅房工作外包服务</w:t>
      </w:r>
    </w:p>
    <w:p w14:paraId="7E5D246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合同履行期限：3年，合同实行一年一签。其中第一年对中标人每月度进行考核</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考核合格且无重大过错前提下，采购人不得无故终止合同；自第二年起，采购人有权根据现场工作需求量随时终止合同，无需承担额外违约责任；若中标人考核</w:t>
      </w:r>
      <w:r>
        <w:rPr>
          <w:rFonts w:hint="eastAsia" w:ascii="仿宋" w:hAnsi="仿宋" w:eastAsia="仿宋" w:cs="仿宋"/>
          <w:color w:val="auto"/>
          <w:sz w:val="28"/>
          <w:szCs w:val="28"/>
          <w:lang w:val="en-US" w:eastAsia="zh-CN"/>
        </w:rPr>
        <w:t>累计2次</w:t>
      </w:r>
      <w:r>
        <w:rPr>
          <w:rFonts w:hint="eastAsia" w:ascii="仿宋" w:hAnsi="仿宋" w:eastAsia="仿宋" w:cs="仿宋"/>
          <w:color w:val="auto"/>
          <w:sz w:val="28"/>
          <w:szCs w:val="28"/>
        </w:rPr>
        <w:t>不合格，不区分保底期限，采购人</w:t>
      </w:r>
      <w:r>
        <w:rPr>
          <w:rFonts w:hint="eastAsia" w:ascii="仿宋" w:hAnsi="仿宋" w:eastAsia="仿宋" w:cs="仿宋"/>
          <w:bCs w:val="0"/>
          <w:color w:val="auto"/>
          <w:kern w:val="2"/>
          <w:sz w:val="28"/>
          <w:szCs w:val="28"/>
          <w:u w:val="none"/>
          <w:lang w:val="en-US" w:eastAsia="zh-CN" w:bidi="ar-SA"/>
        </w:rPr>
        <w:t>有权终止合同，扣除当</w:t>
      </w:r>
      <w:r>
        <w:rPr>
          <w:rFonts w:hint="eastAsia" w:ascii="仿宋" w:hAnsi="仿宋" w:eastAsia="仿宋" w:cs="仿宋"/>
          <w:bCs w:val="0"/>
          <w:color w:val="auto"/>
          <w:kern w:val="2"/>
          <w:sz w:val="28"/>
          <w:szCs w:val="28"/>
          <w:highlight w:val="none"/>
          <w:u w:val="none"/>
          <w:lang w:val="en-US" w:eastAsia="zh-CN" w:bidi="ar-SA"/>
        </w:rPr>
        <w:t>期服务费用的20%和</w:t>
      </w:r>
      <w:r>
        <w:rPr>
          <w:rFonts w:hint="eastAsia" w:ascii="仿宋" w:hAnsi="仿宋" w:eastAsia="仿宋" w:cs="仿宋"/>
          <w:bCs w:val="0"/>
          <w:color w:val="auto"/>
          <w:kern w:val="2"/>
          <w:sz w:val="28"/>
          <w:szCs w:val="28"/>
          <w:u w:val="none"/>
          <w:lang w:val="en-US" w:eastAsia="zh-CN" w:bidi="ar-SA"/>
        </w:rPr>
        <w:t>全部履约保证金。</w:t>
      </w:r>
    </w:p>
    <w:p w14:paraId="4C4C68F8">
      <w:pPr>
        <w:keepNext/>
        <w:keepLines/>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本项目不接受联合体投标。</w:t>
      </w:r>
    </w:p>
    <w:p w14:paraId="106AC965">
      <w:pPr>
        <w:keepNext/>
        <w:keepLines/>
        <w:spacing w:before="160" w:after="160"/>
        <w:rPr>
          <w:rFonts w:ascii="黑体" w:hAnsi="黑体" w:eastAsia="黑体" w:cs="黑体"/>
          <w:color w:val="auto"/>
          <w:sz w:val="28"/>
          <w:szCs w:val="28"/>
        </w:rPr>
      </w:pPr>
      <w:bookmarkStart w:id="3" w:name="_Toc28359003"/>
      <w:bookmarkStart w:id="4" w:name="_Toc35393791"/>
      <w:bookmarkStart w:id="5" w:name="_Toc28359080"/>
      <w:bookmarkStart w:id="6" w:name="_Toc35393622"/>
      <w:r>
        <w:rPr>
          <w:rFonts w:hint="eastAsia" w:ascii="黑体" w:hAnsi="黑体" w:eastAsia="黑体" w:cs="黑体"/>
          <w:color w:val="auto"/>
          <w:sz w:val="28"/>
          <w:szCs w:val="28"/>
        </w:rPr>
        <w:t>二、申请人的资格要求</w:t>
      </w:r>
      <w:bookmarkEnd w:id="3"/>
      <w:bookmarkEnd w:id="4"/>
      <w:bookmarkEnd w:id="5"/>
      <w:bookmarkEnd w:id="6"/>
    </w:p>
    <w:p w14:paraId="29F893A5">
      <w:pPr>
        <w:ind w:firstLine="560" w:firstLineChars="200"/>
        <w:rPr>
          <w:rFonts w:ascii="仿宋" w:hAnsi="仿宋" w:eastAsia="仿宋"/>
          <w:color w:val="auto"/>
          <w:sz w:val="28"/>
          <w:szCs w:val="28"/>
        </w:rPr>
      </w:pPr>
      <w:bookmarkStart w:id="7" w:name="_Toc28359081"/>
      <w:bookmarkStart w:id="8" w:name="_Toc28359004"/>
      <w:bookmarkStart w:id="9" w:name="_Toc35393792"/>
      <w:bookmarkStart w:id="10" w:name="_Toc35393623"/>
      <w:r>
        <w:rPr>
          <w:rFonts w:hint="eastAsia" w:ascii="仿宋" w:hAnsi="仿宋" w:eastAsia="仿宋"/>
          <w:color w:val="auto"/>
          <w:sz w:val="28"/>
          <w:szCs w:val="28"/>
        </w:rPr>
        <w:t>1.投标人须是在中华人民共和国境内注册并具有相应服务能力的企业，具有有效的营业执照（或三证合一有效证件）；</w:t>
      </w:r>
    </w:p>
    <w:p w14:paraId="70DC87DB">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2.投标人自2023年1月1日至投标截止时间止（以合同签订时间时间为准），具有服务人员外包服务业绩；</w:t>
      </w:r>
    </w:p>
    <w:p w14:paraId="16D7C91E">
      <w:pPr>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.信誉要求：投标人不得存在以下情形：</w:t>
      </w:r>
    </w:p>
    <w:p w14:paraId="6677F52A">
      <w:pPr>
        <w:ind w:firstLine="560" w:firstLineChars="200"/>
        <w:rPr>
          <w:rFonts w:ascii="仿宋" w:hAnsi="仿宋" w:eastAsia="仿宋"/>
          <w:color w:val="auto"/>
          <w:sz w:val="28"/>
          <w:szCs w:val="28"/>
        </w:rPr>
      </w:pPr>
      <w:r>
        <w:rPr>
          <w:rFonts w:hint="eastAsia" w:ascii="仿宋" w:hAnsi="仿宋" w:eastAsia="仿宋"/>
          <w:color w:val="auto"/>
          <w:sz w:val="28"/>
          <w:szCs w:val="28"/>
        </w:rPr>
        <w:t>①被列入“信用中国”网站“失信被执行人”的;</w:t>
      </w:r>
    </w:p>
    <w:p w14:paraId="4E3CDF8E">
      <w:pPr>
        <w:ind w:firstLine="560" w:firstLineChars="200"/>
        <w:rPr>
          <w:rFonts w:ascii="仿宋" w:hAnsi="仿宋" w:eastAsia="仿宋"/>
          <w:color w:val="auto"/>
          <w:sz w:val="28"/>
          <w:szCs w:val="28"/>
        </w:rPr>
      </w:pPr>
      <w:r>
        <w:rPr>
          <w:rFonts w:hint="eastAsia" w:ascii="仿宋" w:hAnsi="仿宋" w:eastAsia="仿宋"/>
          <w:color w:val="auto"/>
          <w:sz w:val="28"/>
          <w:szCs w:val="28"/>
        </w:rPr>
        <w:t>②被列入“信用中国”网站“重大税收违法失信主体”的；</w:t>
      </w:r>
    </w:p>
    <w:p w14:paraId="29F20394">
      <w:pPr>
        <w:ind w:firstLine="560" w:firstLineChars="200"/>
        <w:rPr>
          <w:rFonts w:ascii="仿宋" w:hAnsi="仿宋" w:eastAsia="仿宋"/>
          <w:color w:val="auto"/>
          <w:sz w:val="28"/>
          <w:szCs w:val="28"/>
        </w:rPr>
      </w:pPr>
      <w:r>
        <w:rPr>
          <w:rFonts w:hint="eastAsia" w:ascii="仿宋" w:hAnsi="仿宋" w:eastAsia="仿宋"/>
          <w:color w:val="auto"/>
          <w:sz w:val="28"/>
          <w:szCs w:val="28"/>
        </w:rPr>
        <w:t>③被列入“信用中国”网站“拖欠农民工工资失信联合惩戒对象名单”的；</w:t>
      </w:r>
    </w:p>
    <w:p w14:paraId="16C9F570">
      <w:pPr>
        <w:ind w:firstLine="560" w:firstLineChars="200"/>
        <w:rPr>
          <w:rFonts w:ascii="仿宋" w:hAnsi="仿宋" w:eastAsia="仿宋"/>
          <w:color w:val="auto"/>
          <w:sz w:val="28"/>
          <w:szCs w:val="28"/>
        </w:rPr>
      </w:pPr>
      <w:r>
        <w:rPr>
          <w:rFonts w:hint="eastAsia" w:ascii="仿宋" w:hAnsi="仿宋" w:eastAsia="仿宋"/>
          <w:color w:val="auto"/>
          <w:sz w:val="28"/>
          <w:szCs w:val="28"/>
        </w:rPr>
        <w:t>④被列入“信用中国”网站 “严重失信主体名单”的；</w:t>
      </w:r>
    </w:p>
    <w:p w14:paraId="0D2391EE">
      <w:pPr>
        <w:ind w:firstLine="560" w:firstLineChars="200"/>
        <w:rPr>
          <w:rFonts w:ascii="仿宋" w:hAnsi="仿宋" w:eastAsia="仿宋"/>
          <w:color w:val="auto"/>
          <w:sz w:val="28"/>
          <w:szCs w:val="28"/>
        </w:rPr>
      </w:pPr>
      <w:r>
        <w:rPr>
          <w:rFonts w:hint="eastAsia" w:ascii="仿宋" w:hAnsi="仿宋" w:eastAsia="仿宋"/>
          <w:color w:val="auto"/>
          <w:sz w:val="28"/>
          <w:szCs w:val="28"/>
        </w:rPr>
        <w:t>⑤在“信用中国”网站上披露的仍在公示期的严重失信行为(具体行为类别及判定依据见附件2)的。</w:t>
      </w:r>
    </w:p>
    <w:p w14:paraId="7EA561C2">
      <w:pPr>
        <w:ind w:firstLine="560" w:firstLineChars="200"/>
        <w:rPr>
          <w:rFonts w:ascii="仿宋" w:hAnsi="仿宋" w:eastAsia="仿宋"/>
          <w:color w:val="auto"/>
          <w:sz w:val="28"/>
          <w:szCs w:val="28"/>
        </w:rPr>
      </w:pPr>
      <w:r>
        <w:rPr>
          <w:rFonts w:hint="eastAsia" w:ascii="仿宋" w:hAnsi="仿宋" w:eastAsia="仿宋"/>
          <w:color w:val="auto"/>
          <w:sz w:val="28"/>
          <w:szCs w:val="28"/>
        </w:rPr>
        <w:t>⑥被列入</w:t>
      </w:r>
      <w:bookmarkStart w:id="11" w:name="OLE_LINK4"/>
      <w:r>
        <w:rPr>
          <w:rFonts w:hint="eastAsia" w:ascii="仿宋" w:hAnsi="仿宋" w:eastAsia="仿宋"/>
          <w:color w:val="auto"/>
          <w:sz w:val="28"/>
          <w:szCs w:val="28"/>
        </w:rPr>
        <w:t>国家企业信用信息公示系统网站</w:t>
      </w:r>
      <w:bookmarkEnd w:id="11"/>
      <w:r>
        <w:rPr>
          <w:rFonts w:hint="eastAsia" w:ascii="仿宋" w:hAnsi="仿宋" w:eastAsia="仿宋"/>
          <w:color w:val="auto"/>
          <w:sz w:val="28"/>
          <w:szCs w:val="28"/>
        </w:rPr>
        <w:t>“经营异常名录”或者“严重违法失信名单”的。</w:t>
      </w:r>
    </w:p>
    <w:p w14:paraId="38F1BF8D">
      <w:pPr>
        <w:ind w:firstLine="560" w:firstLineChars="200"/>
        <w:rPr>
          <w:rFonts w:ascii="仿宋" w:hAnsi="仿宋" w:eastAsia="仿宋"/>
          <w:color w:val="auto"/>
          <w:sz w:val="28"/>
          <w:szCs w:val="28"/>
        </w:rPr>
      </w:pPr>
      <w:r>
        <w:rPr>
          <w:rFonts w:hint="eastAsia" w:ascii="仿宋" w:hAnsi="仿宋" w:eastAsia="仿宋"/>
          <w:color w:val="auto"/>
          <w:sz w:val="28"/>
          <w:szCs w:val="28"/>
        </w:rPr>
        <w:t>⑦前三年有行贿犯罪行为的单位和个人；</w:t>
      </w:r>
    </w:p>
    <w:p w14:paraId="1C658910">
      <w:pPr>
        <w:ind w:firstLine="560" w:firstLineChars="200"/>
        <w:rPr>
          <w:rFonts w:ascii="仿宋" w:hAnsi="仿宋" w:eastAsia="仿宋"/>
          <w:color w:val="auto"/>
          <w:sz w:val="28"/>
          <w:szCs w:val="28"/>
        </w:rPr>
      </w:pPr>
      <w:r>
        <w:rPr>
          <w:rFonts w:hint="eastAsia" w:ascii="仿宋" w:hAnsi="仿宋" w:eastAsia="仿宋"/>
          <w:color w:val="auto"/>
          <w:sz w:val="28"/>
          <w:szCs w:val="28"/>
        </w:rPr>
        <w:t>⑧被滁州市县两级公管部门及各行业主管部门取消在一定期限内的投标资格且在取消期限内的；</w:t>
      </w:r>
    </w:p>
    <w:p w14:paraId="4458B064">
      <w:pPr>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.投标人所属分公司、办事处等分支机构存在第2款信誉要求①-⑧项情形之一的，接受投标人参加本项目。</w:t>
      </w:r>
    </w:p>
    <w:p w14:paraId="1AE451A4">
      <w:pPr>
        <w:ind w:firstLine="560" w:firstLineChars="200"/>
        <w:rPr>
          <w:rFonts w:ascii="仿宋" w:hAnsi="仿宋" w:eastAsia="仿宋"/>
          <w:color w:val="auto"/>
          <w:sz w:val="28"/>
          <w:szCs w:val="28"/>
        </w:rPr>
      </w:pPr>
      <w:r>
        <w:rPr>
          <w:rFonts w:hint="eastAsia" w:ascii="仿宋" w:hAnsi="仿宋" w:eastAsia="仿宋"/>
          <w:color w:val="auto"/>
          <w:sz w:val="28"/>
          <w:szCs w:val="28"/>
        </w:rPr>
        <w:t>备注：第</w:t>
      </w:r>
      <w:r>
        <w:rPr>
          <w:rFonts w:hint="eastAsia" w:ascii="仿宋" w:hAnsi="仿宋" w:eastAsia="仿宋"/>
          <w:color w:val="auto"/>
          <w:sz w:val="28"/>
          <w:szCs w:val="28"/>
          <w:lang w:val="en-US" w:eastAsia="zh-CN"/>
        </w:rPr>
        <w:t>3、4</w:t>
      </w:r>
      <w:r>
        <w:rPr>
          <w:rFonts w:hint="eastAsia" w:ascii="仿宋" w:hAnsi="仿宋" w:eastAsia="仿宋"/>
          <w:color w:val="auto"/>
          <w:sz w:val="28"/>
          <w:szCs w:val="28"/>
        </w:rPr>
        <w:t>条按照“关于联合惩戒失信行为加强信用查询管理的通知”查询或承诺。</w:t>
      </w:r>
    </w:p>
    <w:p w14:paraId="4B668D6D">
      <w:pPr>
        <w:keepNext/>
        <w:keepLines/>
        <w:spacing w:before="160" w:after="160"/>
        <w:rPr>
          <w:rFonts w:ascii="黑体" w:hAnsi="黑体" w:eastAsia="黑体" w:cs="黑体"/>
          <w:color w:val="auto"/>
          <w:sz w:val="28"/>
          <w:szCs w:val="28"/>
        </w:rPr>
      </w:pPr>
      <w:r>
        <w:rPr>
          <w:rFonts w:hint="eastAsia" w:ascii="黑体" w:hAnsi="黑体" w:eastAsia="黑体" w:cs="黑体"/>
          <w:color w:val="auto"/>
          <w:sz w:val="28"/>
          <w:szCs w:val="28"/>
        </w:rPr>
        <w:t>三、获取招标文件</w:t>
      </w:r>
      <w:bookmarkEnd w:id="7"/>
      <w:bookmarkEnd w:id="8"/>
      <w:bookmarkEnd w:id="9"/>
      <w:bookmarkEnd w:id="10"/>
    </w:p>
    <w:p w14:paraId="16B4ED61">
      <w:pPr>
        <w:ind w:firstLine="540"/>
        <w:rPr>
          <w:rFonts w:ascii="仿宋" w:hAnsi="仿宋" w:eastAsia="仿宋" w:cs="宋体"/>
          <w:iCs/>
          <w:color w:val="auto"/>
          <w:sz w:val="28"/>
          <w:szCs w:val="28"/>
        </w:rPr>
      </w:pPr>
      <w:r>
        <w:rPr>
          <w:rFonts w:hint="eastAsia" w:ascii="仿宋" w:hAnsi="仿宋" w:eastAsia="仿宋" w:cs="宋体"/>
          <w:color w:val="auto"/>
          <w:sz w:val="28"/>
          <w:szCs w:val="28"/>
        </w:rPr>
        <w:t>时间：202</w:t>
      </w: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8</w:t>
      </w:r>
      <w:r>
        <w:rPr>
          <w:rFonts w:hint="eastAsia" w:ascii="仿宋" w:hAnsi="仿宋" w:eastAsia="仿宋" w:cs="宋体"/>
          <w:color w:val="auto"/>
          <w:sz w:val="28"/>
          <w:szCs w:val="28"/>
        </w:rPr>
        <w:t>日至202</w:t>
      </w:r>
      <w:r>
        <w:rPr>
          <w:rFonts w:hint="eastAsia" w:ascii="仿宋" w:hAnsi="仿宋" w:eastAsia="仿宋" w:cs="宋体"/>
          <w:color w:val="auto"/>
          <w:sz w:val="28"/>
          <w:szCs w:val="28"/>
          <w:lang w:val="en-US" w:eastAsia="zh-CN"/>
        </w:rPr>
        <w:t>6</w:t>
      </w:r>
      <w:r>
        <w:rPr>
          <w:rFonts w:hint="eastAsia" w:ascii="仿宋" w:hAnsi="仿宋" w:eastAsia="仿宋" w:cs="宋体"/>
          <w:color w:val="auto"/>
          <w:sz w:val="28"/>
          <w:szCs w:val="28"/>
        </w:rPr>
        <w:t>年</w:t>
      </w: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rPr>
        <w:t>月</w:t>
      </w:r>
      <w:r>
        <w:rPr>
          <w:rFonts w:hint="eastAsia" w:ascii="仿宋" w:hAnsi="仿宋" w:eastAsia="仿宋" w:cs="宋体"/>
          <w:color w:val="auto"/>
          <w:sz w:val="28"/>
          <w:szCs w:val="28"/>
          <w:lang w:val="en-US" w:eastAsia="zh-CN"/>
        </w:rPr>
        <w:t>15</w:t>
      </w:r>
      <w:r>
        <w:rPr>
          <w:rFonts w:hint="eastAsia" w:ascii="仿宋" w:hAnsi="仿宋" w:eastAsia="仿宋" w:cs="宋体"/>
          <w:color w:val="auto"/>
          <w:sz w:val="28"/>
          <w:szCs w:val="28"/>
        </w:rPr>
        <w:t>日</w:t>
      </w:r>
    </w:p>
    <w:p w14:paraId="5D38E8FA">
      <w:pPr>
        <w:ind w:firstLine="540"/>
        <w:jc w:val="left"/>
        <w:rPr>
          <w:rFonts w:ascii="仿宋" w:hAnsi="仿宋" w:eastAsia="仿宋" w:cs="宋体"/>
          <w:color w:val="auto"/>
          <w:sz w:val="28"/>
          <w:szCs w:val="28"/>
          <w:u w:val="single"/>
        </w:rPr>
      </w:pPr>
      <w:r>
        <w:rPr>
          <w:rFonts w:hint="eastAsia" w:ascii="仿宋" w:hAnsi="仿宋" w:eastAsia="仿宋" w:cs="宋体"/>
          <w:color w:val="auto"/>
          <w:sz w:val="28"/>
          <w:szCs w:val="28"/>
        </w:rPr>
        <w:t>地点：滁州市兴滁矿业投资集团有限公司网站（http://www.xckytz.com/index.html）、滁州市城投工程咨询管理有限公司网站（https://www.czctgczx.com/）</w:t>
      </w:r>
    </w:p>
    <w:p w14:paraId="479FE4AE">
      <w:pPr>
        <w:ind w:firstLine="540"/>
        <w:jc w:val="left"/>
        <w:rPr>
          <w:rFonts w:ascii="仿宋" w:hAnsi="仿宋" w:eastAsia="仿宋" w:cs="宋体"/>
          <w:color w:val="auto"/>
          <w:sz w:val="28"/>
          <w:szCs w:val="28"/>
          <w:u w:val="single"/>
        </w:rPr>
      </w:pPr>
      <w:r>
        <w:rPr>
          <w:rFonts w:hint="eastAsia" w:ascii="仿宋" w:hAnsi="仿宋" w:eastAsia="仿宋" w:cs="宋体"/>
          <w:color w:val="auto"/>
          <w:sz w:val="28"/>
          <w:szCs w:val="28"/>
        </w:rPr>
        <w:t>方式：网上下载</w:t>
      </w:r>
    </w:p>
    <w:p w14:paraId="7BAFF1BA">
      <w:pPr>
        <w:ind w:firstLine="540"/>
        <w:jc w:val="left"/>
        <w:rPr>
          <w:rFonts w:ascii="仿宋" w:hAnsi="仿宋" w:eastAsia="仿宋" w:cs="宋体"/>
          <w:color w:val="auto"/>
          <w:sz w:val="28"/>
          <w:szCs w:val="28"/>
        </w:rPr>
      </w:pPr>
      <w:r>
        <w:rPr>
          <w:rFonts w:hint="eastAsia" w:ascii="仿宋" w:hAnsi="仿宋" w:eastAsia="仿宋" w:cs="宋体"/>
          <w:color w:val="auto"/>
          <w:sz w:val="28"/>
          <w:szCs w:val="28"/>
        </w:rPr>
        <w:t>售价：0元</w:t>
      </w:r>
    </w:p>
    <w:p w14:paraId="7BEBF845">
      <w:pPr>
        <w:keepNext/>
        <w:keepLines/>
        <w:spacing w:before="160" w:after="160"/>
        <w:rPr>
          <w:rFonts w:ascii="黑体" w:hAnsi="黑体" w:eastAsia="黑体" w:cs="黑体"/>
          <w:color w:val="auto"/>
          <w:sz w:val="28"/>
          <w:szCs w:val="28"/>
        </w:rPr>
      </w:pPr>
      <w:bookmarkStart w:id="12" w:name="_Toc28359005"/>
      <w:bookmarkStart w:id="13" w:name="_Toc28359082"/>
      <w:bookmarkStart w:id="14" w:name="_Toc35393624"/>
      <w:bookmarkStart w:id="15" w:name="_Toc35393793"/>
      <w:r>
        <w:rPr>
          <w:rFonts w:hint="eastAsia" w:ascii="黑体" w:hAnsi="黑体" w:eastAsia="黑体" w:cs="黑体"/>
          <w:color w:val="auto"/>
          <w:sz w:val="28"/>
          <w:szCs w:val="28"/>
        </w:rPr>
        <w:t>四、提交投标文件</w:t>
      </w:r>
      <w:bookmarkEnd w:id="12"/>
      <w:bookmarkEnd w:id="13"/>
      <w:r>
        <w:rPr>
          <w:rFonts w:hint="eastAsia" w:ascii="黑体" w:hAnsi="黑体" w:eastAsia="黑体" w:cs="黑体"/>
          <w:color w:val="auto"/>
          <w:sz w:val="28"/>
          <w:szCs w:val="28"/>
        </w:rPr>
        <w:t>截止时间、开标时间和地点</w:t>
      </w:r>
      <w:bookmarkEnd w:id="14"/>
      <w:bookmarkEnd w:id="15"/>
    </w:p>
    <w:p w14:paraId="118C0C21">
      <w:pPr>
        <w:ind w:firstLine="560" w:firstLineChars="200"/>
        <w:rPr>
          <w:rFonts w:ascii="仿宋" w:hAnsi="仿宋" w:eastAsia="仿宋"/>
          <w:bCs/>
          <w:iCs/>
          <w:color w:val="auto"/>
          <w:sz w:val="28"/>
          <w:szCs w:val="28"/>
        </w:rPr>
      </w:pPr>
      <w:r>
        <w:rPr>
          <w:rFonts w:hint="eastAsia" w:ascii="仿宋" w:hAnsi="仿宋" w:eastAsia="仿宋"/>
          <w:bCs/>
          <w:color w:val="auto"/>
          <w:sz w:val="28"/>
          <w:szCs w:val="28"/>
        </w:rPr>
        <w:t>时间：202</w:t>
      </w:r>
      <w:r>
        <w:rPr>
          <w:rFonts w:hint="eastAsia" w:ascii="仿宋" w:hAnsi="仿宋" w:eastAsia="仿宋"/>
          <w:bCs/>
          <w:color w:val="auto"/>
          <w:sz w:val="28"/>
          <w:szCs w:val="28"/>
          <w:lang w:val="en-US" w:eastAsia="zh-CN"/>
        </w:rPr>
        <w:t>6</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5</w:t>
      </w:r>
      <w:r>
        <w:rPr>
          <w:rFonts w:hint="eastAsia" w:ascii="仿宋" w:hAnsi="仿宋" w:eastAsia="仿宋"/>
          <w:bCs/>
          <w:color w:val="auto"/>
          <w:sz w:val="28"/>
          <w:szCs w:val="28"/>
        </w:rPr>
        <w:t>月</w:t>
      </w:r>
      <w:r>
        <w:rPr>
          <w:rFonts w:hint="eastAsia" w:ascii="仿宋" w:hAnsi="仿宋" w:eastAsia="仿宋"/>
          <w:bCs/>
          <w:color w:val="auto"/>
          <w:sz w:val="28"/>
          <w:szCs w:val="28"/>
          <w:lang w:val="en-US" w:eastAsia="zh-CN"/>
        </w:rPr>
        <w:t>15</w:t>
      </w:r>
      <w:r>
        <w:rPr>
          <w:rFonts w:hint="eastAsia" w:ascii="仿宋" w:hAnsi="仿宋" w:eastAsia="仿宋"/>
          <w:bCs/>
          <w:color w:val="auto"/>
          <w:sz w:val="28"/>
          <w:szCs w:val="28"/>
        </w:rPr>
        <w:t>日</w:t>
      </w:r>
      <w:r>
        <w:rPr>
          <w:rFonts w:hint="eastAsia" w:ascii="仿宋" w:hAnsi="仿宋" w:eastAsia="仿宋"/>
          <w:bCs/>
          <w:color w:val="auto"/>
          <w:sz w:val="28"/>
          <w:szCs w:val="28"/>
          <w:lang w:val="en-US" w:eastAsia="zh-CN"/>
        </w:rPr>
        <w:t>9</w:t>
      </w:r>
      <w:r>
        <w:rPr>
          <w:rFonts w:hint="eastAsia" w:ascii="仿宋" w:hAnsi="仿宋" w:eastAsia="仿宋"/>
          <w:bCs/>
          <w:color w:val="auto"/>
          <w:sz w:val="28"/>
          <w:szCs w:val="28"/>
        </w:rPr>
        <w:t>点</w:t>
      </w:r>
      <w:r>
        <w:rPr>
          <w:rFonts w:hint="eastAsia" w:ascii="仿宋" w:hAnsi="仿宋" w:eastAsia="仿宋"/>
          <w:bCs/>
          <w:color w:val="auto"/>
          <w:sz w:val="28"/>
          <w:szCs w:val="28"/>
          <w:lang w:val="en-US" w:eastAsia="zh-CN"/>
        </w:rPr>
        <w:t>00</w:t>
      </w:r>
      <w:r>
        <w:rPr>
          <w:rFonts w:hint="eastAsia" w:ascii="仿宋" w:hAnsi="仿宋" w:eastAsia="仿宋"/>
          <w:bCs/>
          <w:color w:val="auto"/>
          <w:sz w:val="28"/>
          <w:szCs w:val="28"/>
        </w:rPr>
        <w:t>分（北京时间）；</w:t>
      </w:r>
    </w:p>
    <w:p w14:paraId="74DD349C">
      <w:pPr>
        <w:ind w:firstLine="560" w:firstLineChars="200"/>
        <w:rPr>
          <w:rFonts w:ascii="仿宋" w:hAnsi="仿宋" w:eastAsia="仿宋"/>
          <w:color w:val="auto"/>
          <w:sz w:val="28"/>
          <w:szCs w:val="28"/>
        </w:rPr>
      </w:pPr>
      <w:r>
        <w:rPr>
          <w:rFonts w:hint="eastAsia" w:ascii="仿宋" w:hAnsi="仿宋" w:eastAsia="仿宋"/>
          <w:color w:val="auto"/>
          <w:sz w:val="28"/>
          <w:szCs w:val="28"/>
        </w:rPr>
        <w:t>地点：滁州市城投工程咨询管理有限公司603会议室（滁州市龙蟠大道109号房产大厦6楼）</w:t>
      </w:r>
    </w:p>
    <w:p w14:paraId="2C3FF11D">
      <w:pPr>
        <w:ind w:firstLine="560" w:firstLineChars="200"/>
        <w:rPr>
          <w:rFonts w:ascii="仿宋" w:hAnsi="仿宋" w:eastAsia="仿宋"/>
          <w:color w:val="auto"/>
          <w:sz w:val="28"/>
          <w:szCs w:val="28"/>
          <w:highlight w:val="yellow"/>
        </w:rPr>
      </w:pPr>
      <w:r>
        <w:rPr>
          <w:rFonts w:hint="eastAsia" w:ascii="仿宋" w:hAnsi="仿宋" w:eastAsia="仿宋"/>
          <w:color w:val="auto"/>
          <w:sz w:val="28"/>
          <w:szCs w:val="28"/>
          <w:highlight w:val="none"/>
        </w:rPr>
        <w:t>注：各潜在投标单位开标时可无须到现场，但必须在开标截止时间前将投标文件密封好送至滁州市城投工程咨询管理有限公司603会议室。采用邮寄方式的，拒绝到付，具体接收时间以代理机构收到的时间为准（邮寄信息：滁州市龙蟠大道109号房产大厦六楼620室，接收人：杨韦，联系方式：18005501210）。</w:t>
      </w:r>
    </w:p>
    <w:p w14:paraId="58619F36">
      <w:pPr>
        <w:keepNext/>
        <w:keepLines/>
        <w:spacing w:before="160" w:after="160"/>
        <w:rPr>
          <w:rFonts w:ascii="黑体" w:hAnsi="黑体" w:eastAsia="黑体" w:cs="黑体"/>
          <w:color w:val="auto"/>
          <w:sz w:val="28"/>
          <w:szCs w:val="28"/>
        </w:rPr>
      </w:pPr>
      <w:bookmarkStart w:id="16" w:name="_Toc35393625"/>
      <w:bookmarkStart w:id="17" w:name="_Toc28359007"/>
      <w:bookmarkStart w:id="18" w:name="_Toc35393794"/>
      <w:bookmarkStart w:id="19" w:name="_Toc28359084"/>
      <w:r>
        <w:rPr>
          <w:rFonts w:hint="eastAsia" w:ascii="黑体" w:hAnsi="黑体" w:eastAsia="黑体" w:cs="黑体"/>
          <w:color w:val="auto"/>
          <w:sz w:val="28"/>
          <w:szCs w:val="28"/>
        </w:rPr>
        <w:t>五、公告期限</w:t>
      </w:r>
      <w:bookmarkEnd w:id="16"/>
      <w:bookmarkEnd w:id="17"/>
      <w:bookmarkEnd w:id="18"/>
      <w:bookmarkEnd w:id="19"/>
    </w:p>
    <w:p w14:paraId="730339B2">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自本公告发布之日起5个工作日</w:t>
      </w:r>
      <w:r>
        <w:rPr>
          <w:rFonts w:hint="eastAsia" w:ascii="仿宋" w:hAnsi="仿宋" w:eastAsia="仿宋"/>
          <w:color w:val="auto"/>
          <w:sz w:val="28"/>
          <w:szCs w:val="28"/>
          <w:lang w:eastAsia="zh-CN"/>
        </w:rPr>
        <w:t>。</w:t>
      </w:r>
    </w:p>
    <w:p w14:paraId="44E9C4C5">
      <w:pPr>
        <w:keepNext/>
        <w:keepLines/>
        <w:spacing w:before="160" w:after="160"/>
        <w:rPr>
          <w:rFonts w:ascii="黑体" w:hAnsi="黑体" w:eastAsia="黑体" w:cs="黑体"/>
          <w:color w:val="auto"/>
          <w:sz w:val="28"/>
          <w:szCs w:val="28"/>
        </w:rPr>
      </w:pPr>
      <w:r>
        <w:rPr>
          <w:rFonts w:hint="eastAsia" w:ascii="黑体" w:hAnsi="黑体" w:eastAsia="黑体" w:cs="黑体"/>
          <w:color w:val="auto"/>
          <w:sz w:val="28"/>
          <w:szCs w:val="28"/>
        </w:rPr>
        <w:t>六、投标保证金金额及缴纳账户</w:t>
      </w:r>
    </w:p>
    <w:p w14:paraId="5727B2B8">
      <w:pPr>
        <w:pStyle w:val="130"/>
        <w:rPr>
          <w:color w:val="auto"/>
        </w:rPr>
      </w:pPr>
      <w:bookmarkStart w:id="20" w:name="_Toc35393626"/>
      <w:bookmarkStart w:id="21" w:name="_Toc35393795"/>
      <w:r>
        <w:rPr>
          <w:color w:val="auto"/>
        </w:rPr>
        <w:t>窗体顶端</w:t>
      </w:r>
    </w:p>
    <w:p w14:paraId="50506EB0">
      <w:pPr>
        <w:pStyle w:val="2"/>
        <w:spacing w:after="0"/>
        <w:ind w:left="0" w:leftChars="0" w:firstLine="560"/>
        <w:jc w:val="left"/>
        <w:rPr>
          <w:rFonts w:hint="eastAsia" w:ascii="仿宋" w:hAnsi="仿宋" w:eastAsia="仿宋"/>
          <w:color w:val="auto"/>
          <w:sz w:val="28"/>
          <w:szCs w:val="28"/>
        </w:rPr>
      </w:pPr>
      <w:r>
        <w:rPr>
          <w:rFonts w:hint="eastAsia" w:ascii="仿宋" w:hAnsi="仿宋" w:eastAsia="仿宋"/>
          <w:color w:val="auto"/>
          <w:sz w:val="28"/>
          <w:szCs w:val="28"/>
        </w:rPr>
        <w:t>投标保证金的金额：</w:t>
      </w:r>
      <w:r>
        <w:rPr>
          <w:rFonts w:hint="eastAsia" w:ascii="仿宋" w:hAnsi="仿宋" w:eastAsia="仿宋"/>
          <w:color w:val="auto"/>
          <w:sz w:val="28"/>
          <w:szCs w:val="28"/>
          <w:highlight w:val="none"/>
          <w:lang w:val="en-US" w:eastAsia="zh-CN"/>
        </w:rPr>
        <w:t>6000</w:t>
      </w:r>
      <w:r>
        <w:rPr>
          <w:rFonts w:hint="eastAsia" w:ascii="仿宋" w:hAnsi="仿宋" w:eastAsia="仿宋"/>
          <w:color w:val="auto"/>
          <w:sz w:val="28"/>
          <w:szCs w:val="28"/>
          <w:highlight w:val="none"/>
        </w:rPr>
        <w:t>元，要求</w:t>
      </w:r>
      <w:r>
        <w:rPr>
          <w:rFonts w:hint="eastAsia" w:ascii="仿宋" w:hAnsi="仿宋" w:eastAsia="仿宋"/>
          <w:color w:val="auto"/>
          <w:sz w:val="28"/>
          <w:szCs w:val="28"/>
        </w:rPr>
        <w:t>投标人提交投标保证金。</w:t>
      </w:r>
    </w:p>
    <w:p w14:paraId="10A4287E">
      <w:pPr>
        <w:pStyle w:val="2"/>
        <w:spacing w:after="0"/>
        <w:ind w:left="0" w:leftChars="0" w:firstLine="560"/>
        <w:jc w:val="left"/>
        <w:rPr>
          <w:rFonts w:hint="eastAsia" w:ascii="仿宋" w:hAnsi="仿宋" w:eastAsia="仿宋"/>
          <w:color w:val="auto"/>
          <w:sz w:val="28"/>
          <w:szCs w:val="28"/>
        </w:rPr>
      </w:pPr>
      <w:r>
        <w:rPr>
          <w:rFonts w:hint="eastAsia" w:ascii="仿宋" w:hAnsi="仿宋" w:eastAsia="仿宋"/>
          <w:color w:val="auto"/>
          <w:sz w:val="28"/>
          <w:szCs w:val="28"/>
        </w:rPr>
        <w:t>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w:t>
      </w:r>
    </w:p>
    <w:p w14:paraId="531A3CC2">
      <w:pPr>
        <w:pStyle w:val="2"/>
        <w:spacing w:after="0"/>
        <w:ind w:left="0" w:leftChars="0" w:firstLine="560"/>
        <w:jc w:val="left"/>
        <w:rPr>
          <w:rFonts w:hint="eastAsia" w:ascii="仿宋" w:hAnsi="仿宋" w:eastAsia="仿宋"/>
          <w:color w:val="auto"/>
          <w:sz w:val="28"/>
          <w:szCs w:val="28"/>
          <w:lang w:eastAsia="zh-CN"/>
        </w:rPr>
      </w:pPr>
      <w:r>
        <w:rPr>
          <w:rFonts w:hint="eastAsia" w:ascii="仿宋" w:hAnsi="仿宋" w:eastAsia="仿宋"/>
          <w:color w:val="auto"/>
          <w:sz w:val="28"/>
          <w:szCs w:val="28"/>
        </w:rPr>
        <w:t>户名：滁州市兴滁实业有限公司</w:t>
      </w:r>
      <w:r>
        <w:rPr>
          <w:rFonts w:hint="eastAsia" w:ascii="仿宋" w:hAnsi="仿宋" w:eastAsia="仿宋"/>
          <w:color w:val="auto"/>
          <w:sz w:val="28"/>
          <w:szCs w:val="28"/>
          <w:lang w:val="en-US" w:eastAsia="zh-CN"/>
        </w:rPr>
        <w:t xml:space="preserve">  </w:t>
      </w:r>
    </w:p>
    <w:p w14:paraId="685F6A1A">
      <w:pPr>
        <w:pStyle w:val="2"/>
        <w:spacing w:after="0"/>
        <w:ind w:left="0" w:leftChars="0" w:firstLine="560"/>
        <w:jc w:val="left"/>
        <w:rPr>
          <w:rFonts w:hint="eastAsia" w:ascii="仿宋" w:hAnsi="仿宋" w:eastAsia="仿宋" w:cs="Times New Roman"/>
          <w:color w:val="auto"/>
          <w:sz w:val="28"/>
          <w:szCs w:val="28"/>
        </w:rPr>
      </w:pPr>
      <w:r>
        <w:rPr>
          <w:rFonts w:hint="eastAsia" w:ascii="仿宋" w:hAnsi="仿宋" w:eastAsia="仿宋"/>
          <w:color w:val="auto"/>
          <w:sz w:val="28"/>
          <w:szCs w:val="28"/>
        </w:rPr>
        <w:t>开户行</w:t>
      </w:r>
      <w:r>
        <w:rPr>
          <w:rFonts w:hint="eastAsia" w:ascii="仿宋" w:hAnsi="仿宋" w:eastAsia="仿宋" w:cs="Times New Roman"/>
          <w:color w:val="auto"/>
          <w:sz w:val="28"/>
          <w:szCs w:val="28"/>
        </w:rPr>
        <w:t>：中信银行滁州分行营业部</w:t>
      </w:r>
    </w:p>
    <w:p w14:paraId="78CB018C">
      <w:pPr>
        <w:pStyle w:val="2"/>
        <w:spacing w:after="0"/>
        <w:ind w:left="0" w:leftChars="0" w:firstLine="560"/>
        <w:jc w:val="left"/>
        <w:rPr>
          <w:rFonts w:hint="eastAsia" w:ascii="仿宋" w:hAnsi="仿宋" w:eastAsia="仿宋"/>
          <w:color w:val="auto"/>
          <w:sz w:val="28"/>
          <w:szCs w:val="28"/>
        </w:rPr>
      </w:pPr>
      <w:r>
        <w:rPr>
          <w:rFonts w:hint="eastAsia" w:ascii="仿宋" w:hAnsi="仿宋" w:eastAsia="仿宋" w:cs="Times New Roman"/>
          <w:color w:val="auto"/>
          <w:sz w:val="28"/>
          <w:szCs w:val="28"/>
        </w:rPr>
        <w:t xml:space="preserve">账  号：8112301012600628434    </w:t>
      </w:r>
      <w:r>
        <w:rPr>
          <w:rFonts w:hint="eastAsia" w:ascii="仿宋" w:hAnsi="仿宋" w:eastAsia="仿宋"/>
          <w:color w:val="auto"/>
          <w:sz w:val="28"/>
          <w:szCs w:val="28"/>
        </w:rPr>
        <w:t xml:space="preserve">                 </w:t>
      </w:r>
    </w:p>
    <w:p w14:paraId="6754BDCE">
      <w:pPr>
        <w:pStyle w:val="2"/>
        <w:spacing w:after="0"/>
        <w:ind w:left="0" w:leftChars="0" w:firstLine="560"/>
        <w:jc w:val="left"/>
        <w:rPr>
          <w:rFonts w:hint="eastAsia" w:ascii="仿宋" w:hAnsi="仿宋" w:eastAsia="仿宋"/>
          <w:color w:val="auto"/>
          <w:sz w:val="28"/>
          <w:szCs w:val="28"/>
        </w:rPr>
      </w:pPr>
      <w:r>
        <w:rPr>
          <w:rFonts w:hint="eastAsia" w:ascii="仿宋" w:hAnsi="仿宋" w:eastAsia="仿宋"/>
          <w:color w:val="auto"/>
          <w:sz w:val="28"/>
          <w:szCs w:val="28"/>
        </w:rPr>
        <w:t>采用现金形式缴纳保证金时须在交易附言中注明“</w:t>
      </w:r>
      <w:r>
        <w:rPr>
          <w:rFonts w:hint="eastAsia" w:ascii="仿宋" w:hAnsi="仿宋" w:eastAsia="仿宋"/>
          <w:color w:val="auto"/>
          <w:sz w:val="28"/>
          <w:szCs w:val="28"/>
          <w:lang w:eastAsia="zh-CN"/>
        </w:rPr>
        <w:t>兴滁实业磅房工作外包服务</w:t>
      </w:r>
      <w:r>
        <w:rPr>
          <w:rFonts w:hint="eastAsia" w:ascii="仿宋" w:hAnsi="仿宋" w:eastAsia="仿宋"/>
          <w:color w:val="auto"/>
          <w:sz w:val="28"/>
          <w:szCs w:val="28"/>
        </w:rPr>
        <w:t>投标保证金”。</w:t>
      </w:r>
    </w:p>
    <w:bookmarkEnd w:id="20"/>
    <w:bookmarkEnd w:id="21"/>
    <w:p w14:paraId="175187DE">
      <w:pPr>
        <w:keepNext/>
        <w:keepLines/>
        <w:spacing w:before="160" w:after="160"/>
        <w:rPr>
          <w:rFonts w:ascii="黑体" w:hAnsi="黑体" w:eastAsia="黑体" w:cs="黑体"/>
          <w:color w:val="auto"/>
          <w:sz w:val="28"/>
          <w:szCs w:val="28"/>
        </w:rPr>
      </w:pPr>
      <w:r>
        <w:rPr>
          <w:rFonts w:hint="eastAsia" w:ascii="黑体" w:hAnsi="黑体" w:eastAsia="黑体" w:cs="黑体"/>
          <w:color w:val="auto"/>
          <w:sz w:val="28"/>
          <w:szCs w:val="28"/>
        </w:rPr>
        <w:t>七、对本次招标提出询问，请按以下方式联系</w:t>
      </w:r>
    </w:p>
    <w:p w14:paraId="7871733B">
      <w:pPr>
        <w:pStyle w:val="5"/>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　1.招标人信息</w:t>
      </w:r>
    </w:p>
    <w:p w14:paraId="0F4A2EA8">
      <w:pPr>
        <w:ind w:left="-199" w:leftChars="-95" w:firstLine="840" w:firstLineChars="300"/>
        <w:jc w:val="left"/>
        <w:rPr>
          <w:rFonts w:hint="eastAsia" w:ascii="仿宋" w:hAnsi="仿宋" w:eastAsia="仿宋" w:cs="仿宋"/>
          <w:color w:val="auto"/>
          <w:sz w:val="28"/>
          <w:szCs w:val="28"/>
          <w:u w:val="single"/>
          <w:lang w:eastAsia="zh-CN"/>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lang w:eastAsia="zh-CN"/>
        </w:rPr>
        <w:t>滁州市兴滁实业有限公司</w:t>
      </w:r>
    </w:p>
    <w:p w14:paraId="11CE88B9">
      <w:pPr>
        <w:ind w:left="-199" w:leftChars="-95" w:firstLine="840" w:firstLineChars="300"/>
        <w:jc w:val="left"/>
        <w:rPr>
          <w:rFonts w:ascii="仿宋" w:hAnsi="仿宋" w:eastAsia="仿宋" w:cs="仿宋"/>
          <w:color w:val="auto"/>
          <w:sz w:val="28"/>
          <w:szCs w:val="28"/>
          <w:u w:val="single"/>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滁州市南谯区中都大道1598号城投大厦7楼717室</w:t>
      </w:r>
    </w:p>
    <w:p w14:paraId="5DB56ABC">
      <w:pPr>
        <w:ind w:firstLine="560" w:firstLineChars="200"/>
        <w:jc w:val="left"/>
        <w:rPr>
          <w:rFonts w:ascii="仿宋" w:hAnsi="仿宋" w:eastAsia="仿宋" w:cs="仿宋"/>
          <w:color w:val="auto"/>
          <w:sz w:val="28"/>
          <w:szCs w:val="28"/>
          <w:u w:val="single"/>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rPr>
        <w:t>18605500124</w:t>
      </w:r>
    </w:p>
    <w:p w14:paraId="06EDFE12">
      <w:pPr>
        <w:pStyle w:val="5"/>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2.代理机构信息</w:t>
      </w:r>
    </w:p>
    <w:p w14:paraId="6C014D91">
      <w:pPr>
        <w:ind w:left="-199" w:leftChars="-95" w:firstLine="840" w:firstLineChars="300"/>
        <w:jc w:val="left"/>
        <w:rPr>
          <w:rFonts w:ascii="仿宋" w:hAnsi="仿宋" w:eastAsia="仿宋" w:cs="仿宋"/>
          <w:color w:val="auto"/>
          <w:sz w:val="28"/>
          <w:szCs w:val="28"/>
          <w:u w:val="single"/>
        </w:rPr>
      </w:pPr>
      <w:r>
        <w:rPr>
          <w:rFonts w:hint="eastAsia" w:ascii="仿宋" w:hAnsi="仿宋" w:eastAsia="仿宋" w:cs="仿宋"/>
          <w:color w:val="auto"/>
          <w:sz w:val="28"/>
          <w:szCs w:val="28"/>
        </w:rPr>
        <w:t>名    称：</w:t>
      </w:r>
      <w:r>
        <w:rPr>
          <w:rFonts w:hint="eastAsia" w:ascii="仿宋" w:hAnsi="仿宋" w:eastAsia="仿宋" w:cs="仿宋"/>
          <w:color w:val="auto"/>
          <w:sz w:val="28"/>
          <w:szCs w:val="28"/>
          <w:u w:val="single"/>
        </w:rPr>
        <w:t>滁州市城投工程咨询管理有限公司</w:t>
      </w:r>
    </w:p>
    <w:p w14:paraId="1A3A4C65">
      <w:pPr>
        <w:ind w:left="-199" w:leftChars="-95" w:firstLine="840" w:firstLineChars="300"/>
        <w:jc w:val="left"/>
        <w:rPr>
          <w:rFonts w:ascii="仿宋" w:hAnsi="仿宋" w:eastAsia="仿宋" w:cs="仿宋"/>
          <w:color w:val="auto"/>
          <w:sz w:val="28"/>
          <w:szCs w:val="28"/>
          <w:u w:val="single"/>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滁州市龙蟠大道109号房产大厦6楼</w:t>
      </w:r>
    </w:p>
    <w:p w14:paraId="2EC74182">
      <w:pPr>
        <w:ind w:left="-199" w:leftChars="-95" w:firstLine="840" w:firstLineChars="300"/>
        <w:jc w:val="left"/>
        <w:rPr>
          <w:rFonts w:ascii="仿宋" w:hAnsi="仿宋" w:eastAsia="仿宋" w:cs="仿宋"/>
          <w:color w:val="auto"/>
          <w:sz w:val="28"/>
          <w:szCs w:val="28"/>
          <w:u w:val="single"/>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u w:val="single"/>
        </w:rPr>
        <w:t>0550-3519590、18005501210</w:t>
      </w:r>
    </w:p>
    <w:p w14:paraId="54981D26">
      <w:pPr>
        <w:pStyle w:val="5"/>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rPr>
      </w:pPr>
      <w:r>
        <w:rPr>
          <w:rFonts w:hint="eastAsia" w:ascii="仿宋" w:hAnsi="仿宋" w:eastAsia="仿宋" w:cs="仿宋"/>
          <w:color w:val="auto"/>
          <w:kern w:val="2"/>
          <w:sz w:val="28"/>
          <w:szCs w:val="28"/>
        </w:rPr>
        <w:t>3.项目联系方式</w:t>
      </w:r>
    </w:p>
    <w:p w14:paraId="4FEFF1FA">
      <w:pPr>
        <w:pStyle w:val="19"/>
        <w:ind w:left="-199" w:leftChars="-95" w:firstLine="840" w:firstLineChars="300"/>
        <w:jc w:val="left"/>
        <w:rPr>
          <w:rFonts w:ascii="仿宋" w:hAnsi="仿宋" w:eastAsia="仿宋" w:cs="仿宋"/>
          <w:color w:val="auto"/>
          <w:sz w:val="28"/>
          <w:szCs w:val="28"/>
          <w:u w:val="single"/>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u w:val="single"/>
          <w:lang w:eastAsia="zh-CN"/>
        </w:rPr>
        <w:t>董旭</w:t>
      </w:r>
      <w:r>
        <w:rPr>
          <w:rFonts w:hint="eastAsia" w:ascii="仿宋" w:hAnsi="仿宋" w:eastAsia="仿宋" w:cs="仿宋"/>
          <w:color w:val="auto"/>
          <w:sz w:val="28"/>
          <w:szCs w:val="28"/>
          <w:u w:val="single"/>
        </w:rPr>
        <w:t>、杨韦</w:t>
      </w:r>
    </w:p>
    <w:p w14:paraId="4A4FBA8F">
      <w:pPr>
        <w:ind w:left="-199" w:leftChars="-95" w:firstLine="840" w:firstLineChars="300"/>
        <w:jc w:val="left"/>
        <w:rPr>
          <w:rFonts w:ascii="仿宋" w:hAnsi="仿宋" w:eastAsia="仿宋"/>
          <w:color w:val="auto"/>
          <w:sz w:val="28"/>
          <w:szCs w:val="28"/>
          <w:u w:val="single"/>
        </w:rPr>
      </w:pPr>
      <w:r>
        <w:rPr>
          <w:rFonts w:hint="eastAsia" w:ascii="仿宋" w:hAnsi="仿宋" w:eastAsia="仿宋" w:cs="仿宋"/>
          <w:color w:val="auto"/>
          <w:sz w:val="28"/>
          <w:szCs w:val="28"/>
        </w:rPr>
        <w:t>电　　 话：</w:t>
      </w:r>
      <w:r>
        <w:rPr>
          <w:rFonts w:hint="eastAsia" w:ascii="仿宋" w:hAnsi="仿宋" w:eastAsia="仿宋" w:cs="仿宋"/>
          <w:color w:val="auto"/>
          <w:sz w:val="28"/>
          <w:szCs w:val="28"/>
          <w:u w:val="single"/>
        </w:rPr>
        <w:t xml:space="preserve">18605500124、0550-3519590 </w:t>
      </w:r>
    </w:p>
    <w:p w14:paraId="34659DB7">
      <w:pPr>
        <w:spacing w:before="156" w:beforeLines="50" w:after="156" w:afterLines="50"/>
        <w:ind w:firstLine="643" w:firstLineChars="200"/>
        <w:jc w:val="center"/>
        <w:outlineLvl w:val="0"/>
        <w:rPr>
          <w:rFonts w:ascii="宋体"/>
          <w:b/>
          <w:color w:val="auto"/>
          <w:sz w:val="32"/>
          <w:szCs w:val="32"/>
        </w:rPr>
      </w:pPr>
      <w:r>
        <w:rPr>
          <w:rFonts w:hint="eastAsia" w:ascii="宋体"/>
          <w:b/>
          <w:color w:val="auto"/>
          <w:sz w:val="32"/>
          <w:szCs w:val="32"/>
        </w:rPr>
        <w:br w:type="page"/>
      </w:r>
      <w:r>
        <w:rPr>
          <w:rFonts w:hint="eastAsia" w:ascii="宋体"/>
          <w:b/>
          <w:color w:val="auto"/>
          <w:sz w:val="32"/>
          <w:szCs w:val="32"/>
        </w:rPr>
        <w:t>第二章 投标人须知</w:t>
      </w:r>
      <w:bookmarkEnd w:id="2"/>
    </w:p>
    <w:p w14:paraId="63FF8D08">
      <w:pPr>
        <w:snapToGrid w:val="0"/>
        <w:spacing w:before="93" w:beforeLines="30" w:after="93" w:afterLines="30" w:line="500" w:lineRule="exact"/>
        <w:jc w:val="center"/>
        <w:outlineLvl w:val="1"/>
        <w:rPr>
          <w:rFonts w:ascii="宋体"/>
          <w:b/>
          <w:color w:val="auto"/>
          <w:sz w:val="28"/>
          <w:szCs w:val="28"/>
        </w:rPr>
      </w:pPr>
      <w:bookmarkStart w:id="22" w:name="_Toc449028865"/>
      <w:bookmarkStart w:id="23" w:name="_Toc58430314"/>
      <w:r>
        <w:rPr>
          <w:rFonts w:hint="eastAsia" w:ascii="宋体"/>
          <w:b/>
          <w:color w:val="auto"/>
          <w:sz w:val="32"/>
          <w:szCs w:val="32"/>
        </w:rPr>
        <w:t xml:space="preserve"> 一、</w:t>
      </w:r>
      <w:r>
        <w:rPr>
          <w:rFonts w:hint="eastAsia" w:ascii="宋体"/>
          <w:b/>
          <w:color w:val="auto"/>
          <w:sz w:val="28"/>
          <w:szCs w:val="28"/>
        </w:rPr>
        <w:t>投标人须知前附表</w:t>
      </w:r>
      <w:bookmarkEnd w:id="22"/>
      <w:bookmarkEnd w:id="23"/>
    </w:p>
    <w:tbl>
      <w:tblPr>
        <w:tblStyle w:val="36"/>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2508"/>
        <w:gridCol w:w="6672"/>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vAlign w:val="center"/>
          </w:tcPr>
          <w:p w14:paraId="1ACE9E5B">
            <w:pPr>
              <w:pStyle w:val="19"/>
              <w:spacing w:line="500" w:lineRule="exact"/>
              <w:jc w:val="center"/>
              <w:rPr>
                <w:rFonts w:hAnsi="宋体" w:cs="宋体"/>
                <w:b/>
                <w:color w:val="auto"/>
                <w:szCs w:val="21"/>
              </w:rPr>
            </w:pPr>
            <w:r>
              <w:rPr>
                <w:rFonts w:hint="eastAsia" w:hAnsi="宋体" w:cs="宋体"/>
                <w:b/>
                <w:color w:val="auto"/>
                <w:szCs w:val="21"/>
              </w:rPr>
              <w:t>条款号</w:t>
            </w:r>
          </w:p>
        </w:tc>
        <w:tc>
          <w:tcPr>
            <w:tcW w:w="2508" w:type="dxa"/>
            <w:vAlign w:val="center"/>
          </w:tcPr>
          <w:p w14:paraId="5BF350DA">
            <w:pPr>
              <w:pStyle w:val="19"/>
              <w:spacing w:line="500" w:lineRule="exact"/>
              <w:jc w:val="center"/>
              <w:rPr>
                <w:rFonts w:hAnsi="宋体" w:cs="宋体"/>
                <w:b/>
                <w:color w:val="auto"/>
                <w:szCs w:val="21"/>
              </w:rPr>
            </w:pPr>
            <w:r>
              <w:rPr>
                <w:rFonts w:hint="eastAsia" w:hAnsi="宋体" w:cs="宋体"/>
                <w:b/>
                <w:color w:val="auto"/>
                <w:szCs w:val="21"/>
              </w:rPr>
              <w:t>内容</w:t>
            </w:r>
          </w:p>
        </w:tc>
        <w:tc>
          <w:tcPr>
            <w:tcW w:w="6672" w:type="dxa"/>
            <w:vAlign w:val="center"/>
          </w:tcPr>
          <w:p w14:paraId="4BB3F0F8">
            <w:pPr>
              <w:pStyle w:val="19"/>
              <w:spacing w:line="500" w:lineRule="exact"/>
              <w:jc w:val="center"/>
              <w:rPr>
                <w:rFonts w:hAnsi="宋体" w:cs="宋体"/>
                <w:b/>
                <w:color w:val="auto"/>
                <w:szCs w:val="21"/>
              </w:rPr>
            </w:pPr>
            <w:r>
              <w:rPr>
                <w:rFonts w:hint="eastAsia" w:hAnsi="宋体" w:cs="宋体"/>
                <w:b/>
                <w:color w:val="auto"/>
                <w:szCs w:val="21"/>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1020" w:type="dxa"/>
            <w:vAlign w:val="center"/>
          </w:tcPr>
          <w:p w14:paraId="2281E93F">
            <w:pPr>
              <w:pStyle w:val="19"/>
              <w:spacing w:line="500" w:lineRule="exact"/>
              <w:jc w:val="center"/>
              <w:rPr>
                <w:rFonts w:hAnsi="宋体" w:cs="宋体"/>
                <w:color w:val="auto"/>
                <w:szCs w:val="21"/>
              </w:rPr>
            </w:pPr>
            <w:r>
              <w:rPr>
                <w:rFonts w:hint="eastAsia" w:hAnsi="宋体" w:cs="宋体"/>
                <w:color w:val="auto"/>
                <w:szCs w:val="21"/>
              </w:rPr>
              <w:t>1.1</w:t>
            </w:r>
          </w:p>
        </w:tc>
        <w:tc>
          <w:tcPr>
            <w:tcW w:w="2508" w:type="dxa"/>
            <w:vAlign w:val="center"/>
          </w:tcPr>
          <w:p w14:paraId="5143EBB9">
            <w:pPr>
              <w:pStyle w:val="19"/>
              <w:spacing w:line="500" w:lineRule="exact"/>
              <w:jc w:val="left"/>
              <w:rPr>
                <w:rFonts w:hAnsi="宋体" w:cs="宋体"/>
                <w:color w:val="auto"/>
                <w:szCs w:val="21"/>
              </w:rPr>
            </w:pPr>
            <w:r>
              <w:rPr>
                <w:rFonts w:hint="eastAsia" w:hAnsi="宋体" w:cs="宋体"/>
                <w:color w:val="auto"/>
                <w:szCs w:val="21"/>
              </w:rPr>
              <w:t>项目名称</w:t>
            </w:r>
          </w:p>
        </w:tc>
        <w:tc>
          <w:tcPr>
            <w:tcW w:w="6672" w:type="dxa"/>
            <w:vAlign w:val="center"/>
          </w:tcPr>
          <w:p w14:paraId="46D56C39">
            <w:pPr>
              <w:pStyle w:val="19"/>
              <w:spacing w:line="500" w:lineRule="exact"/>
              <w:rPr>
                <w:rFonts w:hint="eastAsia" w:hAnsi="宋体" w:eastAsia="宋体" w:cs="宋体"/>
                <w:color w:val="auto"/>
                <w:szCs w:val="21"/>
                <w:lang w:eastAsia="zh-CN"/>
              </w:rPr>
            </w:pPr>
            <w:r>
              <w:rPr>
                <w:rFonts w:hint="eastAsia" w:hAnsi="宋体" w:cs="宋体"/>
                <w:color w:val="auto"/>
                <w:szCs w:val="21"/>
                <w:lang w:eastAsia="zh-CN"/>
              </w:rPr>
              <w:t>滁州市兴滁实业有限公司磅房工作外包服务采购项目</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vAlign w:val="center"/>
          </w:tcPr>
          <w:p w14:paraId="5EF7851D">
            <w:pPr>
              <w:pStyle w:val="19"/>
              <w:spacing w:line="500" w:lineRule="exact"/>
              <w:jc w:val="center"/>
              <w:rPr>
                <w:rFonts w:hAnsi="宋体" w:cs="宋体"/>
                <w:color w:val="auto"/>
                <w:szCs w:val="21"/>
              </w:rPr>
            </w:pPr>
            <w:r>
              <w:rPr>
                <w:rFonts w:hint="eastAsia" w:hAnsi="宋体" w:cs="宋体"/>
                <w:color w:val="auto"/>
                <w:szCs w:val="21"/>
              </w:rPr>
              <w:t>1.1</w:t>
            </w:r>
          </w:p>
        </w:tc>
        <w:tc>
          <w:tcPr>
            <w:tcW w:w="2508" w:type="dxa"/>
            <w:vAlign w:val="center"/>
          </w:tcPr>
          <w:p w14:paraId="13FCEC53">
            <w:pPr>
              <w:pStyle w:val="19"/>
              <w:spacing w:line="500" w:lineRule="exact"/>
              <w:jc w:val="left"/>
              <w:rPr>
                <w:rFonts w:hAnsi="宋体" w:cs="宋体"/>
                <w:color w:val="auto"/>
                <w:szCs w:val="21"/>
              </w:rPr>
            </w:pPr>
            <w:r>
              <w:rPr>
                <w:rFonts w:hint="eastAsia" w:hAnsi="宋体" w:cs="宋体"/>
                <w:color w:val="auto"/>
                <w:szCs w:val="21"/>
              </w:rPr>
              <w:t>服务期</w:t>
            </w:r>
          </w:p>
        </w:tc>
        <w:tc>
          <w:tcPr>
            <w:tcW w:w="6672" w:type="dxa"/>
            <w:vAlign w:val="center"/>
          </w:tcPr>
          <w:p w14:paraId="4FA4BD61">
            <w:pPr>
              <w:snapToGrid/>
              <w:spacing w:line="540" w:lineRule="exact"/>
              <w:rPr>
                <w:rFonts w:ascii="宋体" w:hAnsi="宋体" w:cs="宋体"/>
                <w:color w:val="auto"/>
                <w:szCs w:val="21"/>
              </w:rPr>
            </w:pPr>
            <w:r>
              <w:rPr>
                <w:rFonts w:hint="eastAsia" w:ascii="宋体" w:hAnsi="宋体" w:cs="宋体"/>
                <w:color w:val="auto"/>
                <w:szCs w:val="21"/>
              </w:rPr>
              <w:t>3年，合同实行一年一签。其中第一年对中标人每月度进行考核</w:t>
            </w:r>
            <w:r>
              <w:rPr>
                <w:rFonts w:hint="eastAsia" w:ascii="宋体" w:hAnsi="宋体" w:cs="宋体"/>
                <w:color w:val="auto"/>
                <w:szCs w:val="21"/>
                <w:lang w:eastAsia="zh-CN"/>
              </w:rPr>
              <w:t>，</w:t>
            </w:r>
            <w:r>
              <w:rPr>
                <w:rFonts w:hint="eastAsia" w:ascii="宋体" w:hAnsi="宋体" w:cs="宋体"/>
                <w:color w:val="auto"/>
                <w:szCs w:val="21"/>
              </w:rPr>
              <w:t>考核合格且无重大过错前提下，采购人不得无故终止合同；自第二年起，采购人有权根据现场工作需求量随时终止合同，无需承担额外违约责任；若中标人</w:t>
            </w:r>
            <w:r>
              <w:rPr>
                <w:rFonts w:hint="eastAsia" w:ascii="宋体" w:hAnsi="宋体" w:cs="宋体"/>
                <w:color w:val="auto"/>
                <w:szCs w:val="21"/>
                <w:lang w:val="en-US" w:eastAsia="zh-CN"/>
              </w:rPr>
              <w:t>累计2次</w:t>
            </w:r>
            <w:r>
              <w:rPr>
                <w:rFonts w:hint="eastAsia" w:ascii="宋体" w:hAnsi="宋体" w:cs="宋体"/>
                <w:color w:val="auto"/>
                <w:szCs w:val="21"/>
              </w:rPr>
              <w:t>考核不合格，不区分保底期限，采购人</w:t>
            </w:r>
            <w:r>
              <w:rPr>
                <w:rFonts w:hint="eastAsia" w:ascii="宋体" w:hAnsi="宋体" w:eastAsia="宋体" w:cs="宋体"/>
                <w:bCs w:val="0"/>
                <w:color w:val="auto"/>
                <w:kern w:val="2"/>
                <w:sz w:val="21"/>
                <w:szCs w:val="21"/>
                <w:u w:val="none"/>
                <w:lang w:val="en-US" w:eastAsia="zh-CN" w:bidi="ar-SA"/>
              </w:rPr>
              <w:t>有权终止合同，扣除当期服务费用的20%和全部履约保证金。</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1020" w:type="dxa"/>
            <w:vAlign w:val="center"/>
          </w:tcPr>
          <w:p w14:paraId="3CB4AFDA">
            <w:pPr>
              <w:pStyle w:val="19"/>
              <w:spacing w:line="500" w:lineRule="exact"/>
              <w:jc w:val="center"/>
              <w:rPr>
                <w:rFonts w:hAnsi="宋体" w:cs="宋体"/>
                <w:color w:val="auto"/>
                <w:szCs w:val="21"/>
              </w:rPr>
            </w:pPr>
            <w:r>
              <w:rPr>
                <w:rFonts w:hint="eastAsia" w:hAnsi="宋体" w:cs="宋体"/>
                <w:color w:val="auto"/>
                <w:szCs w:val="21"/>
              </w:rPr>
              <w:t>1.1</w:t>
            </w:r>
          </w:p>
        </w:tc>
        <w:tc>
          <w:tcPr>
            <w:tcW w:w="2508" w:type="dxa"/>
            <w:vAlign w:val="center"/>
          </w:tcPr>
          <w:p w14:paraId="3810D5AB">
            <w:pPr>
              <w:pStyle w:val="19"/>
              <w:spacing w:line="500" w:lineRule="exact"/>
              <w:jc w:val="left"/>
              <w:rPr>
                <w:rFonts w:hAnsi="宋体" w:cs="宋体"/>
                <w:color w:val="auto"/>
                <w:szCs w:val="21"/>
              </w:rPr>
            </w:pPr>
            <w:r>
              <w:rPr>
                <w:rFonts w:hint="eastAsia" w:hAnsi="宋体" w:cs="宋体"/>
                <w:color w:val="auto"/>
                <w:szCs w:val="21"/>
              </w:rPr>
              <w:t>服务地点</w:t>
            </w:r>
          </w:p>
        </w:tc>
        <w:tc>
          <w:tcPr>
            <w:tcW w:w="6672" w:type="dxa"/>
            <w:vAlign w:val="center"/>
          </w:tcPr>
          <w:p w14:paraId="5812B676">
            <w:pPr>
              <w:pStyle w:val="19"/>
              <w:spacing w:line="500" w:lineRule="exact"/>
              <w:rPr>
                <w:rFonts w:hint="default" w:hAnsi="宋体" w:eastAsia="宋体" w:cs="宋体"/>
                <w:color w:val="auto"/>
                <w:szCs w:val="21"/>
                <w:lang w:val="en-US" w:eastAsia="zh-CN"/>
              </w:rPr>
            </w:pPr>
            <w:r>
              <w:rPr>
                <w:rFonts w:hint="eastAsia" w:hAnsi="宋体" w:cs="宋体"/>
                <w:color w:val="auto"/>
                <w:szCs w:val="21"/>
                <w:lang w:val="en-US" w:eastAsia="zh-CN"/>
              </w:rPr>
              <w:t>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20" w:type="dxa"/>
            <w:vAlign w:val="center"/>
          </w:tcPr>
          <w:p w14:paraId="50C5B7F0">
            <w:pPr>
              <w:pStyle w:val="19"/>
              <w:spacing w:line="500" w:lineRule="exact"/>
              <w:jc w:val="center"/>
              <w:rPr>
                <w:rFonts w:hAnsi="宋体" w:cs="宋体"/>
                <w:color w:val="auto"/>
                <w:szCs w:val="21"/>
              </w:rPr>
            </w:pPr>
            <w:r>
              <w:rPr>
                <w:rFonts w:hint="eastAsia" w:hAnsi="宋体" w:cs="宋体"/>
                <w:color w:val="auto"/>
                <w:szCs w:val="21"/>
              </w:rPr>
              <w:t>1.2</w:t>
            </w:r>
          </w:p>
        </w:tc>
        <w:tc>
          <w:tcPr>
            <w:tcW w:w="2508" w:type="dxa"/>
            <w:vAlign w:val="center"/>
          </w:tcPr>
          <w:p w14:paraId="0DD8F1B4">
            <w:pPr>
              <w:pStyle w:val="19"/>
              <w:spacing w:line="500" w:lineRule="exact"/>
              <w:jc w:val="left"/>
              <w:rPr>
                <w:rFonts w:hAnsi="宋体" w:cs="宋体"/>
                <w:color w:val="auto"/>
                <w:szCs w:val="21"/>
              </w:rPr>
            </w:pPr>
            <w:r>
              <w:rPr>
                <w:rFonts w:hint="eastAsia" w:hAnsi="宋体" w:cs="宋体"/>
                <w:color w:val="auto"/>
                <w:szCs w:val="21"/>
              </w:rPr>
              <w:t>招标人联系人及电话</w:t>
            </w:r>
          </w:p>
        </w:tc>
        <w:tc>
          <w:tcPr>
            <w:tcW w:w="6672" w:type="dxa"/>
            <w:vAlign w:val="center"/>
          </w:tcPr>
          <w:p w14:paraId="0511E431">
            <w:pPr>
              <w:pStyle w:val="19"/>
              <w:spacing w:line="500" w:lineRule="exact"/>
              <w:rPr>
                <w:rFonts w:hAnsi="宋体" w:cs="宋体"/>
                <w:color w:val="auto"/>
                <w:szCs w:val="21"/>
              </w:rPr>
            </w:pPr>
            <w:r>
              <w:rPr>
                <w:rFonts w:hint="eastAsia" w:hAnsi="宋体" w:cs="宋体"/>
                <w:color w:val="auto"/>
                <w:szCs w:val="21"/>
              </w:rPr>
              <w:t>联系人：</w:t>
            </w:r>
            <w:r>
              <w:rPr>
                <w:rFonts w:hint="eastAsia" w:hAnsi="宋体" w:cs="宋体"/>
                <w:color w:val="auto"/>
                <w:szCs w:val="21"/>
                <w:lang w:eastAsia="zh-CN"/>
              </w:rPr>
              <w:t>董旭</w:t>
            </w:r>
            <w:r>
              <w:rPr>
                <w:rFonts w:hint="eastAsia" w:hAnsi="宋体" w:cs="宋体"/>
                <w:color w:val="auto"/>
                <w:szCs w:val="21"/>
              </w:rPr>
              <w:t xml:space="preserve">          电话：18605500124</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1020" w:type="dxa"/>
            <w:vAlign w:val="center"/>
          </w:tcPr>
          <w:p w14:paraId="68C3498A">
            <w:pPr>
              <w:pStyle w:val="19"/>
              <w:spacing w:line="500" w:lineRule="exact"/>
              <w:jc w:val="center"/>
              <w:rPr>
                <w:rFonts w:hAnsi="宋体" w:cs="宋体"/>
                <w:color w:val="auto"/>
                <w:szCs w:val="21"/>
              </w:rPr>
            </w:pPr>
            <w:r>
              <w:rPr>
                <w:rFonts w:hint="eastAsia" w:hAnsi="宋体" w:cs="宋体"/>
                <w:color w:val="auto"/>
                <w:szCs w:val="21"/>
              </w:rPr>
              <w:t>1.2</w:t>
            </w:r>
          </w:p>
        </w:tc>
        <w:tc>
          <w:tcPr>
            <w:tcW w:w="2508" w:type="dxa"/>
            <w:vAlign w:val="center"/>
          </w:tcPr>
          <w:p w14:paraId="605A745B">
            <w:pPr>
              <w:pStyle w:val="19"/>
              <w:spacing w:line="500" w:lineRule="exact"/>
              <w:jc w:val="left"/>
              <w:rPr>
                <w:rFonts w:hAnsi="宋体" w:cs="宋体"/>
                <w:color w:val="auto"/>
                <w:szCs w:val="21"/>
              </w:rPr>
            </w:pPr>
            <w:r>
              <w:rPr>
                <w:rFonts w:hint="eastAsia" w:hAnsi="宋体" w:cs="宋体"/>
                <w:color w:val="auto"/>
                <w:szCs w:val="21"/>
              </w:rPr>
              <w:t>采购代理机构联系人及电话</w:t>
            </w:r>
          </w:p>
        </w:tc>
        <w:tc>
          <w:tcPr>
            <w:tcW w:w="6672" w:type="dxa"/>
            <w:vAlign w:val="center"/>
          </w:tcPr>
          <w:p w14:paraId="3A157804">
            <w:pPr>
              <w:pStyle w:val="19"/>
              <w:spacing w:line="500" w:lineRule="exact"/>
              <w:rPr>
                <w:rFonts w:hAnsi="宋体" w:cs="宋体"/>
                <w:color w:val="auto"/>
                <w:szCs w:val="21"/>
              </w:rPr>
            </w:pPr>
            <w:r>
              <w:rPr>
                <w:rFonts w:hint="eastAsia" w:hAnsi="宋体" w:cs="宋体"/>
                <w:color w:val="auto"/>
                <w:szCs w:val="21"/>
              </w:rPr>
              <w:t>联系人：杨韦          电话0550-30519590、18005501210</w:t>
            </w:r>
          </w:p>
        </w:tc>
      </w:tr>
      <w:tr w14:paraId="2C674A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1020" w:type="dxa"/>
            <w:vAlign w:val="center"/>
          </w:tcPr>
          <w:p w14:paraId="24429CEB">
            <w:pPr>
              <w:pStyle w:val="19"/>
              <w:spacing w:line="500" w:lineRule="exact"/>
              <w:jc w:val="center"/>
              <w:rPr>
                <w:rFonts w:hAnsi="宋体" w:cs="宋体"/>
                <w:color w:val="auto"/>
                <w:szCs w:val="21"/>
              </w:rPr>
            </w:pPr>
            <w:r>
              <w:rPr>
                <w:rFonts w:hint="eastAsia" w:hAnsi="宋体" w:cs="宋体"/>
                <w:color w:val="auto"/>
                <w:szCs w:val="21"/>
              </w:rPr>
              <w:t>1.3</w:t>
            </w:r>
          </w:p>
        </w:tc>
        <w:tc>
          <w:tcPr>
            <w:tcW w:w="2508" w:type="dxa"/>
            <w:vAlign w:val="center"/>
          </w:tcPr>
          <w:p w14:paraId="0B90B69A">
            <w:pPr>
              <w:pStyle w:val="19"/>
              <w:spacing w:line="500" w:lineRule="exact"/>
              <w:jc w:val="left"/>
              <w:rPr>
                <w:rFonts w:hAnsi="宋体" w:cs="宋体"/>
                <w:color w:val="auto"/>
                <w:szCs w:val="21"/>
              </w:rPr>
            </w:pPr>
            <w:r>
              <w:rPr>
                <w:rFonts w:hint="eastAsia" w:hAnsi="宋体" w:cs="宋体"/>
                <w:color w:val="auto"/>
                <w:szCs w:val="21"/>
              </w:rPr>
              <w:t xml:space="preserve">资金来源                                                                                                                                                                 </w:t>
            </w:r>
          </w:p>
        </w:tc>
        <w:tc>
          <w:tcPr>
            <w:tcW w:w="6672" w:type="dxa"/>
            <w:vAlign w:val="center"/>
          </w:tcPr>
          <w:p w14:paraId="2D12EDE1">
            <w:pPr>
              <w:pStyle w:val="19"/>
              <w:spacing w:line="500" w:lineRule="exact"/>
              <w:rPr>
                <w:rFonts w:hAnsi="宋体" w:cs="宋体"/>
                <w:color w:val="auto"/>
                <w:szCs w:val="21"/>
              </w:rPr>
            </w:pPr>
            <w:r>
              <w:rPr>
                <w:rFonts w:hint="eastAsia" w:hAnsi="宋体" w:cs="宋体"/>
                <w:color w:val="auto"/>
                <w:szCs w:val="21"/>
              </w:rPr>
              <w:t>自筹资金</w:t>
            </w:r>
          </w:p>
        </w:tc>
      </w:tr>
      <w:tr w14:paraId="69BA0B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20" w:type="dxa"/>
            <w:vAlign w:val="center"/>
          </w:tcPr>
          <w:p w14:paraId="55F7E70C">
            <w:pPr>
              <w:pStyle w:val="19"/>
              <w:spacing w:line="500" w:lineRule="exact"/>
              <w:jc w:val="center"/>
              <w:rPr>
                <w:rFonts w:hAnsi="宋体" w:cs="宋体"/>
                <w:color w:val="auto"/>
                <w:szCs w:val="21"/>
              </w:rPr>
            </w:pPr>
            <w:r>
              <w:rPr>
                <w:rFonts w:hint="eastAsia" w:hAnsi="宋体" w:cs="宋体"/>
                <w:color w:val="auto"/>
                <w:szCs w:val="21"/>
              </w:rPr>
              <w:t>1.4</w:t>
            </w:r>
          </w:p>
        </w:tc>
        <w:tc>
          <w:tcPr>
            <w:tcW w:w="2508" w:type="dxa"/>
            <w:vAlign w:val="center"/>
          </w:tcPr>
          <w:p w14:paraId="064BAD7C">
            <w:pPr>
              <w:pStyle w:val="19"/>
              <w:spacing w:line="500" w:lineRule="exact"/>
              <w:jc w:val="left"/>
              <w:rPr>
                <w:rFonts w:hAnsi="宋体" w:cs="宋体"/>
                <w:color w:val="auto"/>
                <w:szCs w:val="21"/>
                <w:highlight w:val="none"/>
              </w:rPr>
            </w:pPr>
            <w:r>
              <w:rPr>
                <w:rFonts w:hint="eastAsia" w:hAnsi="宋体" w:cs="宋体"/>
                <w:color w:val="auto"/>
                <w:szCs w:val="21"/>
                <w:highlight w:val="none"/>
              </w:rPr>
              <w:t>采购预算</w:t>
            </w:r>
          </w:p>
        </w:tc>
        <w:tc>
          <w:tcPr>
            <w:tcW w:w="6672" w:type="dxa"/>
            <w:vAlign w:val="center"/>
          </w:tcPr>
          <w:p w14:paraId="4B6C8123">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15</w:t>
            </w:r>
            <w:r>
              <w:rPr>
                <w:rFonts w:hint="eastAsia" w:hAnsi="宋体" w:cs="宋体"/>
                <w:color w:val="auto"/>
                <w:szCs w:val="21"/>
                <w:highlight w:val="none"/>
                <w:lang w:val="en-US" w:eastAsia="zh-CN"/>
              </w:rPr>
              <w:t>0000.00</w:t>
            </w:r>
            <w:r>
              <w:rPr>
                <w:rFonts w:hint="eastAsia" w:hAnsi="宋体" w:cs="宋体"/>
                <w:color w:val="auto"/>
                <w:szCs w:val="21"/>
                <w:highlight w:val="none"/>
              </w:rPr>
              <w:t>元/年/磅房</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暂定磅房数量2座，实际数量根据现场情况据实结算。</w:t>
            </w:r>
          </w:p>
        </w:tc>
      </w:tr>
      <w:tr w14:paraId="6092DC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vAlign w:val="center"/>
          </w:tcPr>
          <w:p w14:paraId="0C6A0D24">
            <w:pPr>
              <w:pStyle w:val="19"/>
              <w:spacing w:line="500" w:lineRule="exact"/>
              <w:jc w:val="center"/>
              <w:rPr>
                <w:rFonts w:hAnsi="宋体" w:cs="宋体"/>
                <w:color w:val="auto"/>
                <w:szCs w:val="21"/>
              </w:rPr>
            </w:pPr>
            <w:r>
              <w:rPr>
                <w:rFonts w:hint="eastAsia" w:hAnsi="宋体" w:cs="宋体"/>
                <w:color w:val="auto"/>
                <w:szCs w:val="21"/>
              </w:rPr>
              <w:t>1.5</w:t>
            </w:r>
          </w:p>
        </w:tc>
        <w:tc>
          <w:tcPr>
            <w:tcW w:w="2508" w:type="dxa"/>
            <w:vAlign w:val="center"/>
          </w:tcPr>
          <w:p w14:paraId="68B1E92A">
            <w:pPr>
              <w:pStyle w:val="19"/>
              <w:spacing w:line="500" w:lineRule="exact"/>
              <w:jc w:val="left"/>
              <w:rPr>
                <w:rFonts w:hAnsi="宋体" w:cs="宋体"/>
                <w:color w:val="auto"/>
                <w:szCs w:val="21"/>
              </w:rPr>
            </w:pPr>
            <w:r>
              <w:rPr>
                <w:rFonts w:hint="eastAsia" w:hAnsi="宋体" w:cs="宋体"/>
                <w:color w:val="auto"/>
                <w:szCs w:val="21"/>
              </w:rPr>
              <w:t>最高限价</w:t>
            </w:r>
          </w:p>
        </w:tc>
        <w:tc>
          <w:tcPr>
            <w:tcW w:w="6672" w:type="dxa"/>
            <w:vAlign w:val="center"/>
          </w:tcPr>
          <w:p w14:paraId="3B31F56A">
            <w:pPr>
              <w:pStyle w:val="19"/>
              <w:spacing w:line="500" w:lineRule="exact"/>
              <w:rPr>
                <w:rFonts w:hAnsi="宋体" w:cs="宋体"/>
                <w:color w:val="auto"/>
                <w:szCs w:val="21"/>
              </w:rPr>
            </w:pPr>
            <w:r>
              <w:rPr>
                <w:rFonts w:hint="eastAsia" w:hAnsi="宋体" w:cs="宋体"/>
                <w:color w:val="auto"/>
                <w:szCs w:val="21"/>
              </w:rPr>
              <w:t>150000.00元/年/磅房，投标报价不得高于最高限价，否则将作为无效投标处理。</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vAlign w:val="center"/>
          </w:tcPr>
          <w:p w14:paraId="478704C6">
            <w:pPr>
              <w:pStyle w:val="19"/>
              <w:spacing w:line="500" w:lineRule="exact"/>
              <w:jc w:val="center"/>
              <w:rPr>
                <w:rFonts w:hAnsi="宋体" w:cs="宋体"/>
                <w:color w:val="auto"/>
                <w:szCs w:val="21"/>
              </w:rPr>
            </w:pPr>
            <w:r>
              <w:rPr>
                <w:rFonts w:hint="eastAsia" w:hAnsi="宋体" w:cs="宋体"/>
                <w:color w:val="auto"/>
                <w:szCs w:val="21"/>
              </w:rPr>
              <w:t>2.1</w:t>
            </w:r>
          </w:p>
        </w:tc>
        <w:tc>
          <w:tcPr>
            <w:tcW w:w="2508" w:type="dxa"/>
            <w:vAlign w:val="center"/>
          </w:tcPr>
          <w:p w14:paraId="6CDD50B4">
            <w:pPr>
              <w:pStyle w:val="19"/>
              <w:spacing w:line="500" w:lineRule="exact"/>
              <w:jc w:val="left"/>
              <w:rPr>
                <w:rFonts w:hAnsi="宋体" w:cs="宋体"/>
                <w:color w:val="auto"/>
                <w:szCs w:val="21"/>
              </w:rPr>
            </w:pPr>
            <w:r>
              <w:rPr>
                <w:rFonts w:hint="eastAsia" w:hAnsi="宋体" w:cs="宋体"/>
                <w:color w:val="auto"/>
                <w:szCs w:val="21"/>
              </w:rPr>
              <w:t>采购内容</w:t>
            </w:r>
          </w:p>
        </w:tc>
        <w:tc>
          <w:tcPr>
            <w:tcW w:w="6672" w:type="dxa"/>
            <w:vAlign w:val="center"/>
          </w:tcPr>
          <w:p w14:paraId="14F71EB2">
            <w:pPr>
              <w:pStyle w:val="19"/>
              <w:spacing w:line="500" w:lineRule="exact"/>
              <w:rPr>
                <w:rFonts w:hAnsi="宋体" w:cs="宋体"/>
                <w:color w:val="auto"/>
                <w:szCs w:val="21"/>
              </w:rPr>
            </w:pPr>
            <w:r>
              <w:rPr>
                <w:rFonts w:hint="eastAsia" w:hAnsi="宋体" w:cs="宋体"/>
                <w:color w:val="auto"/>
                <w:szCs w:val="21"/>
              </w:rPr>
              <w:t>本项目采购内容包括：详见《采购需求》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20" w:type="dxa"/>
            <w:vAlign w:val="center"/>
          </w:tcPr>
          <w:p w14:paraId="5F9F090D">
            <w:pPr>
              <w:pStyle w:val="19"/>
              <w:spacing w:line="500" w:lineRule="exact"/>
              <w:jc w:val="center"/>
              <w:rPr>
                <w:rFonts w:hAnsi="宋体" w:cs="宋体"/>
                <w:color w:val="auto"/>
                <w:szCs w:val="21"/>
              </w:rPr>
            </w:pPr>
            <w:r>
              <w:rPr>
                <w:rFonts w:hint="eastAsia" w:hAnsi="宋体" w:cs="宋体"/>
                <w:color w:val="auto"/>
                <w:szCs w:val="21"/>
              </w:rPr>
              <w:t>3.1</w:t>
            </w:r>
          </w:p>
        </w:tc>
        <w:tc>
          <w:tcPr>
            <w:tcW w:w="2508" w:type="dxa"/>
            <w:vAlign w:val="center"/>
          </w:tcPr>
          <w:p w14:paraId="25D27B6B">
            <w:pPr>
              <w:pStyle w:val="19"/>
              <w:spacing w:line="500" w:lineRule="exact"/>
              <w:jc w:val="left"/>
              <w:rPr>
                <w:rFonts w:hAnsi="宋体" w:cs="宋体"/>
                <w:color w:val="auto"/>
                <w:szCs w:val="21"/>
              </w:rPr>
            </w:pPr>
            <w:r>
              <w:rPr>
                <w:rFonts w:hint="eastAsia" w:hAnsi="宋体" w:cs="宋体"/>
                <w:color w:val="auto"/>
                <w:szCs w:val="21"/>
              </w:rPr>
              <w:t>标包划分</w:t>
            </w:r>
          </w:p>
        </w:tc>
        <w:tc>
          <w:tcPr>
            <w:tcW w:w="6672" w:type="dxa"/>
            <w:vAlign w:val="center"/>
          </w:tcPr>
          <w:p w14:paraId="71A24F0E">
            <w:pPr>
              <w:pStyle w:val="19"/>
              <w:spacing w:line="500" w:lineRule="exact"/>
              <w:rPr>
                <w:rFonts w:hAnsi="宋体" w:cs="宋体"/>
                <w:color w:val="auto"/>
                <w:szCs w:val="21"/>
              </w:rPr>
            </w:pPr>
            <w:r>
              <w:rPr>
                <w:rFonts w:hint="eastAsia" w:hAnsi="宋体" w:cs="宋体"/>
                <w:color w:val="auto"/>
                <w:szCs w:val="21"/>
              </w:rPr>
              <w:t>本项目划分为</w:t>
            </w:r>
            <w:r>
              <w:rPr>
                <w:rFonts w:hint="eastAsia" w:hAnsi="宋体" w:cs="宋体"/>
                <w:color w:val="auto"/>
                <w:szCs w:val="21"/>
                <w:u w:val="single"/>
              </w:rPr>
              <w:t xml:space="preserve"> 1 </w:t>
            </w:r>
            <w:r>
              <w:rPr>
                <w:rFonts w:hint="eastAsia" w:hAnsi="宋体" w:cs="宋体"/>
                <w:color w:val="auto"/>
                <w:szCs w:val="21"/>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020" w:type="dxa"/>
            <w:vAlign w:val="center"/>
          </w:tcPr>
          <w:p w14:paraId="09BE4372">
            <w:pPr>
              <w:pStyle w:val="19"/>
              <w:spacing w:line="500" w:lineRule="exact"/>
              <w:jc w:val="center"/>
              <w:rPr>
                <w:rFonts w:hAnsi="宋体" w:cs="宋体"/>
                <w:color w:val="auto"/>
                <w:szCs w:val="21"/>
              </w:rPr>
            </w:pPr>
            <w:r>
              <w:rPr>
                <w:rFonts w:hint="eastAsia" w:hAnsi="宋体" w:cs="宋体"/>
                <w:color w:val="auto"/>
                <w:szCs w:val="21"/>
              </w:rPr>
              <w:t>4.1</w:t>
            </w:r>
          </w:p>
        </w:tc>
        <w:tc>
          <w:tcPr>
            <w:tcW w:w="2508" w:type="dxa"/>
            <w:vAlign w:val="center"/>
          </w:tcPr>
          <w:p w14:paraId="61DC447A">
            <w:pPr>
              <w:pStyle w:val="19"/>
              <w:spacing w:line="500" w:lineRule="exact"/>
              <w:jc w:val="left"/>
              <w:rPr>
                <w:rFonts w:hAnsi="宋体" w:cs="宋体"/>
                <w:color w:val="auto"/>
                <w:szCs w:val="21"/>
              </w:rPr>
            </w:pPr>
            <w:r>
              <w:rPr>
                <w:rFonts w:hint="eastAsia" w:hAnsi="宋体" w:cs="宋体"/>
                <w:color w:val="auto"/>
                <w:szCs w:val="21"/>
              </w:rPr>
              <w:t>招标方式</w:t>
            </w:r>
          </w:p>
        </w:tc>
        <w:tc>
          <w:tcPr>
            <w:tcW w:w="6672" w:type="dxa"/>
            <w:vAlign w:val="center"/>
          </w:tcPr>
          <w:p w14:paraId="217B8706">
            <w:pPr>
              <w:pStyle w:val="19"/>
              <w:spacing w:line="500" w:lineRule="exact"/>
              <w:rPr>
                <w:rFonts w:hAnsi="宋体" w:cs="宋体"/>
                <w:color w:val="auto"/>
                <w:szCs w:val="21"/>
              </w:rPr>
            </w:pPr>
            <w:r>
              <w:rPr>
                <w:rFonts w:hint="eastAsia" w:hAnsi="宋体" w:cs="宋体"/>
                <w:color w:val="auto"/>
                <w:szCs w:val="21"/>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20" w:type="dxa"/>
            <w:vAlign w:val="center"/>
          </w:tcPr>
          <w:p w14:paraId="1E093A89">
            <w:pPr>
              <w:pStyle w:val="19"/>
              <w:spacing w:line="500" w:lineRule="exact"/>
              <w:jc w:val="center"/>
              <w:rPr>
                <w:rFonts w:hAnsi="宋体" w:cs="宋体"/>
                <w:color w:val="auto"/>
                <w:szCs w:val="21"/>
              </w:rPr>
            </w:pPr>
            <w:r>
              <w:rPr>
                <w:rFonts w:hint="eastAsia" w:hAnsi="宋体" w:cs="宋体"/>
                <w:color w:val="auto"/>
                <w:szCs w:val="21"/>
              </w:rPr>
              <w:t>7</w:t>
            </w:r>
          </w:p>
        </w:tc>
        <w:tc>
          <w:tcPr>
            <w:tcW w:w="2508" w:type="dxa"/>
            <w:vAlign w:val="center"/>
          </w:tcPr>
          <w:p w14:paraId="11CE69F8">
            <w:pPr>
              <w:pStyle w:val="19"/>
              <w:spacing w:line="500" w:lineRule="exact"/>
              <w:jc w:val="left"/>
              <w:rPr>
                <w:rFonts w:hAnsi="宋体" w:cs="宋体"/>
                <w:color w:val="auto"/>
                <w:szCs w:val="21"/>
              </w:rPr>
            </w:pPr>
            <w:r>
              <w:rPr>
                <w:rFonts w:hint="eastAsia" w:hAnsi="宋体" w:cs="宋体"/>
                <w:color w:val="auto"/>
                <w:szCs w:val="21"/>
              </w:rPr>
              <w:t>投标人资格条件及其他要求</w:t>
            </w:r>
          </w:p>
        </w:tc>
        <w:tc>
          <w:tcPr>
            <w:tcW w:w="6672" w:type="dxa"/>
            <w:vAlign w:val="center"/>
          </w:tcPr>
          <w:p w14:paraId="773E763C">
            <w:pPr>
              <w:spacing w:line="500" w:lineRule="exact"/>
              <w:rPr>
                <w:rFonts w:ascii="宋体" w:hAnsi="宋体" w:cs="宋体"/>
                <w:color w:val="auto"/>
                <w:szCs w:val="21"/>
              </w:rPr>
            </w:pPr>
            <w:r>
              <w:rPr>
                <w:rFonts w:hint="eastAsia" w:ascii="宋体" w:hAnsi="宋体" w:cs="宋体"/>
                <w:color w:val="auto"/>
                <w:szCs w:val="21"/>
              </w:rPr>
              <w:t>详见第一章“招标公告”</w:t>
            </w:r>
          </w:p>
        </w:tc>
      </w:tr>
      <w:tr w14:paraId="3A3210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14:paraId="32E2A2B0">
            <w:pPr>
              <w:pStyle w:val="19"/>
              <w:spacing w:line="500" w:lineRule="exact"/>
              <w:jc w:val="center"/>
              <w:rPr>
                <w:rFonts w:hAnsi="宋体" w:cs="宋体"/>
                <w:color w:val="auto"/>
                <w:szCs w:val="21"/>
              </w:rPr>
            </w:pPr>
            <w:r>
              <w:rPr>
                <w:rFonts w:hint="eastAsia" w:hAnsi="宋体" w:cs="宋体"/>
                <w:color w:val="auto"/>
                <w:szCs w:val="21"/>
              </w:rPr>
              <w:t>9.1</w:t>
            </w:r>
          </w:p>
        </w:tc>
        <w:tc>
          <w:tcPr>
            <w:tcW w:w="2508" w:type="dxa"/>
            <w:vAlign w:val="center"/>
          </w:tcPr>
          <w:p w14:paraId="7FEB4BB1">
            <w:pPr>
              <w:pStyle w:val="19"/>
              <w:spacing w:line="500" w:lineRule="exact"/>
              <w:jc w:val="left"/>
              <w:rPr>
                <w:rFonts w:hAnsi="宋体" w:cs="宋体"/>
                <w:color w:val="auto"/>
                <w:szCs w:val="21"/>
              </w:rPr>
            </w:pPr>
            <w:r>
              <w:rPr>
                <w:rFonts w:hint="eastAsia" w:hAnsi="宋体" w:cs="宋体"/>
                <w:color w:val="auto"/>
                <w:szCs w:val="21"/>
              </w:rPr>
              <w:t>踏勘现场</w:t>
            </w:r>
          </w:p>
        </w:tc>
        <w:tc>
          <w:tcPr>
            <w:tcW w:w="6672" w:type="dxa"/>
            <w:vAlign w:val="center"/>
          </w:tcPr>
          <w:p w14:paraId="1C09ABA4">
            <w:pPr>
              <w:pStyle w:val="19"/>
              <w:spacing w:line="500" w:lineRule="exact"/>
              <w:rPr>
                <w:rFonts w:hAnsi="宋体" w:cs="宋体"/>
                <w:color w:val="auto"/>
                <w:szCs w:val="21"/>
              </w:rPr>
            </w:pPr>
            <w:r>
              <w:rPr>
                <w:rFonts w:hint="eastAsia" w:hAnsi="宋体" w:cs="宋体"/>
                <w:color w:val="auto"/>
                <w:szCs w:val="21"/>
              </w:rPr>
              <w:t>不组织,投标人自行踏勘现场</w:t>
            </w:r>
          </w:p>
        </w:tc>
      </w:tr>
      <w:tr w14:paraId="4F2D19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14:paraId="6018CE5B">
            <w:pPr>
              <w:pStyle w:val="19"/>
              <w:spacing w:line="500" w:lineRule="exact"/>
              <w:jc w:val="center"/>
              <w:rPr>
                <w:rFonts w:hAnsi="宋体" w:cs="宋体"/>
                <w:color w:val="auto"/>
                <w:szCs w:val="21"/>
              </w:rPr>
            </w:pPr>
            <w:r>
              <w:rPr>
                <w:rFonts w:hint="eastAsia" w:hAnsi="宋体" w:cs="宋体"/>
                <w:color w:val="auto"/>
                <w:szCs w:val="21"/>
              </w:rPr>
              <w:t>10.1</w:t>
            </w:r>
          </w:p>
        </w:tc>
        <w:tc>
          <w:tcPr>
            <w:tcW w:w="2508" w:type="dxa"/>
            <w:vAlign w:val="center"/>
          </w:tcPr>
          <w:p w14:paraId="76922355">
            <w:pPr>
              <w:pStyle w:val="19"/>
              <w:spacing w:line="500" w:lineRule="exact"/>
              <w:jc w:val="left"/>
              <w:rPr>
                <w:rFonts w:hAnsi="宋体" w:cs="宋体"/>
                <w:color w:val="auto"/>
                <w:szCs w:val="21"/>
              </w:rPr>
            </w:pPr>
            <w:r>
              <w:rPr>
                <w:rFonts w:hint="eastAsia" w:hAnsi="宋体" w:cs="宋体"/>
                <w:color w:val="auto"/>
                <w:szCs w:val="21"/>
              </w:rPr>
              <w:t>投标预备会</w:t>
            </w:r>
          </w:p>
        </w:tc>
        <w:tc>
          <w:tcPr>
            <w:tcW w:w="6672" w:type="dxa"/>
            <w:vAlign w:val="center"/>
          </w:tcPr>
          <w:p w14:paraId="358BEE0C">
            <w:pPr>
              <w:pStyle w:val="19"/>
              <w:spacing w:line="500" w:lineRule="exact"/>
              <w:rPr>
                <w:rFonts w:hAnsi="宋体" w:cs="宋体"/>
                <w:color w:val="auto"/>
                <w:szCs w:val="21"/>
              </w:rPr>
            </w:pPr>
            <w:r>
              <w:rPr>
                <w:rFonts w:hint="eastAsia" w:hAnsi="宋体" w:cs="宋体"/>
                <w:color w:val="auto"/>
                <w:szCs w:val="21"/>
              </w:rPr>
              <w:t>不召开</w:t>
            </w:r>
          </w:p>
        </w:tc>
      </w:tr>
      <w:tr w14:paraId="12DDFF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20" w:type="dxa"/>
            <w:vAlign w:val="center"/>
          </w:tcPr>
          <w:p w14:paraId="79286DF4">
            <w:pPr>
              <w:pStyle w:val="19"/>
              <w:spacing w:line="500" w:lineRule="exact"/>
              <w:jc w:val="center"/>
              <w:rPr>
                <w:rFonts w:hAnsi="宋体" w:cs="宋体"/>
                <w:color w:val="auto"/>
                <w:szCs w:val="21"/>
              </w:rPr>
            </w:pPr>
            <w:r>
              <w:rPr>
                <w:rFonts w:hint="eastAsia" w:hAnsi="宋体" w:cs="宋体"/>
                <w:color w:val="auto"/>
                <w:szCs w:val="21"/>
              </w:rPr>
              <w:t>11.1</w:t>
            </w:r>
          </w:p>
        </w:tc>
        <w:tc>
          <w:tcPr>
            <w:tcW w:w="2508" w:type="dxa"/>
            <w:vAlign w:val="center"/>
          </w:tcPr>
          <w:p w14:paraId="5DB96C63">
            <w:pPr>
              <w:pStyle w:val="19"/>
              <w:spacing w:line="500" w:lineRule="exact"/>
              <w:jc w:val="left"/>
              <w:rPr>
                <w:rFonts w:hAnsi="宋体" w:cs="宋体"/>
                <w:color w:val="auto"/>
                <w:szCs w:val="21"/>
              </w:rPr>
            </w:pPr>
            <w:r>
              <w:rPr>
                <w:rFonts w:hint="eastAsia" w:hAnsi="宋体" w:cs="宋体"/>
                <w:color w:val="auto"/>
                <w:szCs w:val="21"/>
              </w:rPr>
              <w:t>联合体投标</w:t>
            </w:r>
          </w:p>
        </w:tc>
        <w:tc>
          <w:tcPr>
            <w:tcW w:w="6672" w:type="dxa"/>
            <w:vAlign w:val="center"/>
          </w:tcPr>
          <w:p w14:paraId="4D987695">
            <w:pPr>
              <w:pStyle w:val="19"/>
              <w:spacing w:line="500" w:lineRule="exact"/>
              <w:rPr>
                <w:rFonts w:hAnsi="宋体" w:cs="宋体"/>
                <w:color w:val="auto"/>
                <w:szCs w:val="21"/>
              </w:rPr>
            </w:pPr>
            <w:r>
              <w:rPr>
                <w:rFonts w:hint="eastAsia" w:hAnsi="宋体" w:cs="宋体"/>
                <w:color w:val="auto"/>
                <w:szCs w:val="21"/>
              </w:rPr>
              <w:t>详见第一章“招标公告”</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20" w:type="dxa"/>
            <w:vAlign w:val="center"/>
          </w:tcPr>
          <w:p w14:paraId="3CF2652B">
            <w:pPr>
              <w:spacing w:line="500" w:lineRule="exact"/>
              <w:jc w:val="center"/>
              <w:rPr>
                <w:rFonts w:ascii="宋体" w:hAnsi="宋体" w:cs="宋体"/>
                <w:color w:val="auto"/>
                <w:szCs w:val="21"/>
              </w:rPr>
            </w:pPr>
            <w:r>
              <w:rPr>
                <w:rFonts w:hint="eastAsia" w:ascii="宋体" w:hAnsi="宋体" w:cs="宋体"/>
                <w:color w:val="auto"/>
                <w:szCs w:val="21"/>
              </w:rPr>
              <w:t>12.1</w:t>
            </w:r>
          </w:p>
        </w:tc>
        <w:tc>
          <w:tcPr>
            <w:tcW w:w="2508" w:type="dxa"/>
            <w:vAlign w:val="center"/>
          </w:tcPr>
          <w:p w14:paraId="75E5DD44">
            <w:pPr>
              <w:spacing w:line="500" w:lineRule="exact"/>
              <w:jc w:val="left"/>
              <w:rPr>
                <w:rFonts w:ascii="宋体" w:hAnsi="宋体" w:cs="宋体"/>
                <w:color w:val="auto"/>
                <w:szCs w:val="21"/>
              </w:rPr>
            </w:pPr>
            <w:r>
              <w:rPr>
                <w:rFonts w:hint="eastAsia" w:ascii="宋体" w:hAnsi="宋体" w:cs="宋体"/>
                <w:color w:val="auto"/>
                <w:szCs w:val="21"/>
              </w:rPr>
              <w:t>招标代理费及其他费用</w:t>
            </w:r>
          </w:p>
        </w:tc>
        <w:tc>
          <w:tcPr>
            <w:tcW w:w="6672" w:type="dxa"/>
            <w:vAlign w:val="center"/>
          </w:tcPr>
          <w:p w14:paraId="30D4861E">
            <w:pPr>
              <w:spacing w:line="500" w:lineRule="exact"/>
              <w:jc w:val="left"/>
              <w:rPr>
                <w:rFonts w:ascii="宋体" w:hAnsi="宋体" w:cs="宋体"/>
                <w:color w:val="auto"/>
                <w:szCs w:val="21"/>
              </w:rPr>
            </w:pPr>
            <w:r>
              <w:rPr>
                <w:rFonts w:hint="eastAsia" w:ascii="宋体" w:hAnsi="宋体" w:cs="宋体"/>
                <w:color w:val="auto"/>
                <w:szCs w:val="21"/>
              </w:rPr>
              <w:t>1.代理服务费金额：</w:t>
            </w:r>
            <w:r>
              <w:rPr>
                <w:rFonts w:hint="eastAsia" w:ascii="宋体" w:hAnsi="宋体" w:cs="宋体"/>
                <w:color w:val="auto"/>
                <w:szCs w:val="21"/>
                <w:lang w:val="en-US" w:eastAsia="zh-CN"/>
              </w:rPr>
              <w:t>2000</w:t>
            </w:r>
            <w:r>
              <w:rPr>
                <w:rFonts w:hint="eastAsia" w:ascii="宋体" w:hAnsi="宋体" w:cs="宋体"/>
                <w:color w:val="auto"/>
                <w:szCs w:val="21"/>
              </w:rPr>
              <w:t>元；支付主体：中标人。</w:t>
            </w:r>
          </w:p>
          <w:p w14:paraId="6DF7E566">
            <w:pPr>
              <w:pStyle w:val="35"/>
              <w:spacing w:after="0" w:line="500" w:lineRule="exact"/>
              <w:ind w:firstLine="0" w:firstLineChars="0"/>
              <w:rPr>
                <w:rFonts w:ascii="宋体" w:hAnsi="宋体" w:cs="宋体"/>
                <w:color w:val="auto"/>
                <w:szCs w:val="21"/>
              </w:rPr>
            </w:pPr>
            <w:r>
              <w:rPr>
                <w:rFonts w:hint="eastAsia" w:ascii="宋体" w:hAnsi="宋体" w:cs="宋体"/>
                <w:color w:val="auto"/>
                <w:szCs w:val="21"/>
              </w:rPr>
              <w:t>2.专家评委费：具体金额以实际发生为准(专家评审费发放不包括招标人内部人员)；支付主体：中标人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14:paraId="5E5A0FB4">
            <w:pPr>
              <w:spacing w:line="500" w:lineRule="exact"/>
              <w:jc w:val="center"/>
              <w:rPr>
                <w:rFonts w:ascii="宋体" w:hAnsi="宋体" w:cs="宋体"/>
                <w:color w:val="auto"/>
                <w:szCs w:val="21"/>
              </w:rPr>
            </w:pPr>
            <w:r>
              <w:rPr>
                <w:rFonts w:hint="eastAsia" w:ascii="宋体" w:hAnsi="宋体" w:cs="宋体"/>
                <w:color w:val="auto"/>
                <w:szCs w:val="21"/>
              </w:rPr>
              <w:t>15.4</w:t>
            </w:r>
          </w:p>
        </w:tc>
        <w:tc>
          <w:tcPr>
            <w:tcW w:w="2508" w:type="dxa"/>
            <w:vAlign w:val="center"/>
          </w:tcPr>
          <w:p w14:paraId="6787E227">
            <w:pPr>
              <w:pStyle w:val="19"/>
              <w:spacing w:line="500" w:lineRule="exact"/>
              <w:jc w:val="left"/>
              <w:rPr>
                <w:rFonts w:hAnsi="宋体" w:cs="宋体"/>
                <w:color w:val="auto"/>
                <w:szCs w:val="21"/>
              </w:rPr>
            </w:pPr>
            <w:r>
              <w:rPr>
                <w:rFonts w:hint="eastAsia" w:hAnsi="宋体" w:cs="宋体"/>
                <w:color w:val="auto"/>
                <w:szCs w:val="21"/>
              </w:rPr>
              <w:t>招标人澄清的方式</w:t>
            </w:r>
          </w:p>
        </w:tc>
        <w:tc>
          <w:tcPr>
            <w:tcW w:w="6672" w:type="dxa"/>
            <w:vAlign w:val="center"/>
          </w:tcPr>
          <w:p w14:paraId="0E424F14">
            <w:pPr>
              <w:spacing w:line="500" w:lineRule="exact"/>
              <w:rPr>
                <w:rFonts w:ascii="宋体" w:hAnsi="宋体" w:cs="宋体"/>
                <w:color w:val="auto"/>
                <w:szCs w:val="21"/>
              </w:rPr>
            </w:pPr>
            <w:r>
              <w:rPr>
                <w:rFonts w:hint="eastAsia" w:ascii="宋体" w:hAnsi="宋体" w:cs="宋体"/>
                <w:color w:val="auto"/>
                <w:szCs w:val="21"/>
              </w:rPr>
              <w:t>招标人将于</w:t>
            </w:r>
            <w:r>
              <w:rPr>
                <w:rFonts w:hint="eastAsia" w:ascii="宋体" w:hAnsi="宋体" w:cs="宋体"/>
                <w:b/>
                <w:bCs/>
                <w:color w:val="auto"/>
                <w:szCs w:val="21"/>
              </w:rPr>
              <w:t>202</w:t>
            </w:r>
            <w:r>
              <w:rPr>
                <w:rFonts w:hint="eastAsia" w:ascii="宋体" w:hAnsi="宋体" w:cs="宋体"/>
                <w:b/>
                <w:bCs/>
                <w:color w:val="auto"/>
                <w:szCs w:val="21"/>
                <w:lang w:val="en-US" w:eastAsia="zh-CN"/>
              </w:rPr>
              <w:t>6</w:t>
            </w:r>
            <w:r>
              <w:rPr>
                <w:rFonts w:hint="eastAsia" w:ascii="宋体" w:hAnsi="宋体" w:cs="宋体"/>
                <w:b/>
                <w:bCs/>
                <w:color w:val="auto"/>
                <w:szCs w:val="21"/>
              </w:rPr>
              <w:t>年</w:t>
            </w:r>
            <w:r>
              <w:rPr>
                <w:rFonts w:hint="eastAsia" w:ascii="宋体" w:hAnsi="宋体" w:cs="宋体"/>
                <w:b/>
                <w:bCs/>
                <w:color w:val="auto"/>
                <w:szCs w:val="21"/>
                <w:lang w:val="en-US" w:eastAsia="zh-CN"/>
              </w:rPr>
              <w:t>5</w:t>
            </w:r>
            <w:r>
              <w:rPr>
                <w:rFonts w:hint="eastAsia" w:ascii="宋体" w:hAnsi="宋体" w:cs="宋体"/>
                <w:b/>
                <w:bCs/>
                <w:color w:val="auto"/>
                <w:szCs w:val="21"/>
              </w:rPr>
              <w:t>月</w:t>
            </w:r>
            <w:r>
              <w:rPr>
                <w:rFonts w:hint="eastAsia" w:ascii="宋体" w:hAnsi="宋体" w:cs="宋体"/>
                <w:b/>
                <w:bCs/>
                <w:color w:val="auto"/>
                <w:szCs w:val="21"/>
                <w:lang w:val="en-US" w:eastAsia="zh-CN"/>
              </w:rPr>
              <w:t>12</w:t>
            </w:r>
            <w:r>
              <w:rPr>
                <w:rFonts w:hint="eastAsia" w:ascii="宋体" w:hAnsi="宋体" w:cs="宋体"/>
                <w:b/>
                <w:bCs/>
                <w:color w:val="auto"/>
                <w:szCs w:val="21"/>
              </w:rPr>
              <w:t>日17时</w:t>
            </w:r>
            <w:r>
              <w:rPr>
                <w:rFonts w:hint="eastAsia" w:ascii="宋体" w:hAnsi="宋体" w:cs="宋体"/>
                <w:color w:val="auto"/>
                <w:szCs w:val="21"/>
              </w:rPr>
              <w:t>后，以澄清公告形式在滁州市兴滁矿业投资集团有限公司网站（http://www.xckytz.com/index.html）、滁州市城投工程咨询管理有限公司网站（https://www.czctgczx.com/）予以公告。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14:paraId="293122E6">
            <w:pPr>
              <w:pStyle w:val="19"/>
              <w:spacing w:line="500" w:lineRule="exact"/>
              <w:jc w:val="center"/>
              <w:rPr>
                <w:rFonts w:hAnsi="宋体" w:cs="宋体"/>
                <w:color w:val="auto"/>
                <w:szCs w:val="21"/>
              </w:rPr>
            </w:pPr>
            <w:r>
              <w:rPr>
                <w:rFonts w:hint="eastAsia" w:hAnsi="宋体" w:cs="宋体"/>
                <w:color w:val="auto"/>
                <w:szCs w:val="21"/>
              </w:rPr>
              <w:t>22.1</w:t>
            </w:r>
          </w:p>
        </w:tc>
        <w:tc>
          <w:tcPr>
            <w:tcW w:w="2508" w:type="dxa"/>
            <w:vAlign w:val="center"/>
          </w:tcPr>
          <w:p w14:paraId="1D59A448">
            <w:pPr>
              <w:pStyle w:val="19"/>
              <w:spacing w:line="500" w:lineRule="exact"/>
              <w:jc w:val="left"/>
              <w:rPr>
                <w:rFonts w:hAnsi="宋体" w:cs="宋体"/>
                <w:color w:val="auto"/>
                <w:szCs w:val="21"/>
              </w:rPr>
            </w:pPr>
            <w:r>
              <w:rPr>
                <w:rFonts w:hint="eastAsia" w:hAnsi="宋体" w:cs="宋体"/>
                <w:color w:val="auto"/>
                <w:szCs w:val="21"/>
              </w:rPr>
              <w:t>投标有效期</w:t>
            </w:r>
          </w:p>
        </w:tc>
        <w:tc>
          <w:tcPr>
            <w:tcW w:w="6672" w:type="dxa"/>
            <w:vAlign w:val="center"/>
          </w:tcPr>
          <w:p w14:paraId="615A471B">
            <w:pPr>
              <w:pStyle w:val="19"/>
              <w:spacing w:line="500" w:lineRule="exact"/>
              <w:rPr>
                <w:rFonts w:hAnsi="宋体" w:cs="宋体"/>
                <w:color w:val="auto"/>
                <w:szCs w:val="21"/>
              </w:rPr>
            </w:pPr>
            <w:r>
              <w:rPr>
                <w:rFonts w:hint="eastAsia" w:hAnsi="宋体" w:cs="宋体"/>
                <w:color w:val="auto"/>
                <w:szCs w:val="21"/>
              </w:rPr>
              <w:t>投标有效期为</w:t>
            </w:r>
            <w:r>
              <w:rPr>
                <w:rFonts w:hint="eastAsia" w:hAnsi="宋体" w:cs="宋体"/>
                <w:color w:val="auto"/>
                <w:szCs w:val="21"/>
                <w:u w:val="single"/>
              </w:rPr>
              <w:t xml:space="preserve"> 60 </w:t>
            </w:r>
            <w:r>
              <w:rPr>
                <w:rFonts w:hint="eastAsia" w:hAnsi="宋体" w:cs="宋体"/>
                <w:color w:val="auto"/>
                <w:szCs w:val="21"/>
              </w:rPr>
              <w:t>日历天（从投标截止之日算起）。在此期限内，凡符合本招标文件要求的投标文件均保持有效。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vAlign w:val="center"/>
          </w:tcPr>
          <w:p w14:paraId="5ACB8AE2">
            <w:pPr>
              <w:spacing w:line="500" w:lineRule="exact"/>
              <w:jc w:val="center"/>
              <w:rPr>
                <w:rFonts w:ascii="宋体" w:hAnsi="宋体" w:cs="宋体"/>
                <w:color w:val="auto"/>
                <w:szCs w:val="21"/>
              </w:rPr>
            </w:pPr>
            <w:r>
              <w:rPr>
                <w:rFonts w:hint="eastAsia" w:ascii="宋体" w:hAnsi="宋体" w:cs="宋体"/>
                <w:color w:val="auto"/>
                <w:szCs w:val="21"/>
              </w:rPr>
              <w:t>23</w:t>
            </w:r>
          </w:p>
        </w:tc>
        <w:tc>
          <w:tcPr>
            <w:tcW w:w="2508" w:type="dxa"/>
            <w:vAlign w:val="center"/>
          </w:tcPr>
          <w:p w14:paraId="1063505F">
            <w:pPr>
              <w:spacing w:line="500" w:lineRule="exact"/>
              <w:jc w:val="left"/>
              <w:rPr>
                <w:rFonts w:ascii="宋体" w:hAnsi="宋体" w:cs="宋体"/>
                <w:color w:val="auto"/>
                <w:szCs w:val="21"/>
              </w:rPr>
            </w:pPr>
            <w:r>
              <w:rPr>
                <w:rFonts w:hint="eastAsia" w:ascii="宋体" w:hAnsi="宋体" w:cs="宋体"/>
                <w:color w:val="auto"/>
                <w:szCs w:val="21"/>
              </w:rPr>
              <w:t>投标保证金</w:t>
            </w:r>
          </w:p>
        </w:tc>
        <w:tc>
          <w:tcPr>
            <w:tcW w:w="6672" w:type="dxa"/>
          </w:tcPr>
          <w:p w14:paraId="742D35F8">
            <w:pPr>
              <w:widowControl/>
              <w:shd w:val="clear" w:color="auto" w:fill="FFFFFF"/>
              <w:spacing w:line="500" w:lineRule="exact"/>
              <w:jc w:val="left"/>
              <w:rPr>
                <w:rFonts w:ascii="宋体" w:hAnsi="宋体" w:cs="宋体"/>
                <w:color w:val="auto"/>
                <w:szCs w:val="21"/>
              </w:rPr>
            </w:pPr>
            <w:r>
              <w:rPr>
                <w:rFonts w:hint="eastAsia" w:ascii="宋体" w:hAnsi="宋体" w:cs="宋体"/>
                <w:color w:val="auto"/>
                <w:szCs w:val="21"/>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20" w:type="dxa"/>
            <w:vAlign w:val="center"/>
          </w:tcPr>
          <w:p w14:paraId="7CEFC787">
            <w:pPr>
              <w:pStyle w:val="19"/>
              <w:spacing w:line="500" w:lineRule="exact"/>
              <w:jc w:val="center"/>
              <w:rPr>
                <w:rFonts w:hAnsi="宋体" w:cs="宋体"/>
                <w:color w:val="auto"/>
                <w:szCs w:val="21"/>
              </w:rPr>
            </w:pPr>
            <w:r>
              <w:rPr>
                <w:rFonts w:hint="eastAsia" w:hAnsi="宋体" w:cs="宋体"/>
                <w:color w:val="auto"/>
                <w:szCs w:val="21"/>
              </w:rPr>
              <w:t>24.1</w:t>
            </w:r>
          </w:p>
        </w:tc>
        <w:tc>
          <w:tcPr>
            <w:tcW w:w="2508" w:type="dxa"/>
            <w:vAlign w:val="center"/>
          </w:tcPr>
          <w:p w14:paraId="24352CD1">
            <w:pPr>
              <w:pStyle w:val="19"/>
              <w:spacing w:line="500" w:lineRule="exact"/>
              <w:jc w:val="left"/>
              <w:rPr>
                <w:rFonts w:hAnsi="宋体" w:cs="宋体"/>
                <w:color w:val="auto"/>
                <w:szCs w:val="21"/>
              </w:rPr>
            </w:pPr>
            <w:r>
              <w:rPr>
                <w:rFonts w:hint="eastAsia" w:hAnsi="宋体" w:cs="宋体"/>
                <w:color w:val="auto"/>
                <w:szCs w:val="21"/>
              </w:rPr>
              <w:t>投标文件数量</w:t>
            </w:r>
          </w:p>
        </w:tc>
        <w:tc>
          <w:tcPr>
            <w:tcW w:w="6672" w:type="dxa"/>
            <w:vAlign w:val="center"/>
          </w:tcPr>
          <w:p w14:paraId="32126ECE">
            <w:pPr>
              <w:widowControl/>
              <w:spacing w:line="500" w:lineRule="exact"/>
              <w:jc w:val="left"/>
              <w:rPr>
                <w:rFonts w:ascii="宋体" w:hAnsi="宋体" w:cs="宋体"/>
                <w:b/>
                <w:color w:val="auto"/>
                <w:kern w:val="0"/>
                <w:szCs w:val="21"/>
              </w:rPr>
            </w:pPr>
            <w:r>
              <w:rPr>
                <w:rFonts w:hint="eastAsia" w:ascii="宋体" w:hAnsi="宋体" w:cs="宋体"/>
                <w:b/>
                <w:color w:val="auto"/>
                <w:kern w:val="0"/>
                <w:szCs w:val="21"/>
              </w:rPr>
              <w:t>正本</w:t>
            </w:r>
            <w:r>
              <w:rPr>
                <w:rFonts w:hint="eastAsia" w:ascii="宋体" w:hAnsi="宋体" w:cs="宋体"/>
                <w:b/>
                <w:color w:val="auto"/>
                <w:kern w:val="0"/>
                <w:szCs w:val="21"/>
                <w:u w:val="single"/>
              </w:rPr>
              <w:t xml:space="preserve"> 1 </w:t>
            </w:r>
            <w:r>
              <w:rPr>
                <w:rFonts w:hint="eastAsia" w:ascii="宋体" w:hAnsi="宋体" w:cs="宋体"/>
                <w:b/>
                <w:color w:val="auto"/>
                <w:kern w:val="0"/>
                <w:szCs w:val="21"/>
              </w:rPr>
              <w:t>份，副本</w:t>
            </w:r>
            <w:r>
              <w:rPr>
                <w:rFonts w:hint="eastAsia" w:ascii="宋体" w:hAnsi="宋体" w:cs="宋体"/>
                <w:b/>
                <w:color w:val="auto"/>
                <w:kern w:val="0"/>
                <w:szCs w:val="21"/>
                <w:u w:val="single"/>
              </w:rPr>
              <w:t xml:space="preserve"> 1</w:t>
            </w:r>
            <w:r>
              <w:rPr>
                <w:rFonts w:hint="eastAsia" w:ascii="宋体" w:hAnsi="宋体" w:cs="宋体"/>
                <w:b/>
                <w:color w:val="auto"/>
                <w:kern w:val="0"/>
                <w:szCs w:val="21"/>
              </w:rPr>
              <w:t>份。投标文件按顺序装订并密封。</w:t>
            </w:r>
          </w:p>
          <w:p w14:paraId="7A683995">
            <w:pPr>
              <w:widowControl/>
              <w:spacing w:line="500" w:lineRule="exact"/>
              <w:jc w:val="left"/>
              <w:rPr>
                <w:rFonts w:ascii="宋体" w:hAnsi="宋体" w:cs="宋体"/>
                <w:color w:val="auto"/>
                <w:szCs w:val="21"/>
              </w:rPr>
            </w:pPr>
            <w:r>
              <w:rPr>
                <w:rFonts w:hint="eastAsia" w:ascii="宋体" w:hAnsi="宋体" w:cs="宋体"/>
                <w:b/>
                <w:color w:val="auto"/>
                <w:kern w:val="0"/>
                <w:szCs w:val="21"/>
                <w:lang w:val="en-US" w:eastAsia="zh-CN"/>
              </w:rPr>
              <w:t>投标</w:t>
            </w:r>
            <w:r>
              <w:rPr>
                <w:rFonts w:hint="eastAsia" w:ascii="宋体" w:hAnsi="宋体" w:cs="宋体"/>
                <w:b/>
                <w:color w:val="auto"/>
                <w:kern w:val="0"/>
                <w:szCs w:val="21"/>
              </w:rPr>
              <w:t>文件正副本密封在</w:t>
            </w:r>
            <w:r>
              <w:rPr>
                <w:rFonts w:hint="eastAsia" w:ascii="宋体" w:hAnsi="宋体" w:cs="宋体"/>
                <w:b/>
                <w:color w:val="auto"/>
                <w:kern w:val="0"/>
                <w:szCs w:val="21"/>
                <w:lang w:val="en-US" w:eastAsia="zh-CN"/>
              </w:rPr>
              <w:t>投标</w:t>
            </w:r>
            <w:r>
              <w:rPr>
                <w:rFonts w:hint="eastAsia" w:ascii="宋体" w:hAnsi="宋体" w:cs="宋体"/>
                <w:b/>
                <w:color w:val="auto"/>
                <w:kern w:val="0"/>
                <w:szCs w:val="21"/>
              </w:rPr>
              <w:t>文件档案袋中。</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14:paraId="18599145">
            <w:pPr>
              <w:spacing w:line="500" w:lineRule="exact"/>
              <w:jc w:val="center"/>
              <w:rPr>
                <w:rFonts w:ascii="宋体" w:hAnsi="宋体" w:cs="宋体"/>
                <w:color w:val="auto"/>
                <w:szCs w:val="21"/>
              </w:rPr>
            </w:pPr>
            <w:r>
              <w:rPr>
                <w:rFonts w:hint="eastAsia" w:ascii="宋体" w:hAnsi="宋体" w:cs="宋体"/>
                <w:color w:val="auto"/>
                <w:szCs w:val="21"/>
              </w:rPr>
              <w:t>24.2</w:t>
            </w:r>
          </w:p>
        </w:tc>
        <w:tc>
          <w:tcPr>
            <w:tcW w:w="2508" w:type="dxa"/>
            <w:vAlign w:val="center"/>
          </w:tcPr>
          <w:p w14:paraId="345E1EB0">
            <w:pPr>
              <w:spacing w:line="500" w:lineRule="exact"/>
              <w:jc w:val="left"/>
              <w:rPr>
                <w:rFonts w:ascii="宋体" w:hAnsi="宋体" w:cs="宋体"/>
                <w:color w:val="auto"/>
                <w:szCs w:val="21"/>
              </w:rPr>
            </w:pPr>
            <w:r>
              <w:rPr>
                <w:rFonts w:hint="eastAsia" w:ascii="宋体" w:hAnsi="宋体" w:cs="宋体"/>
                <w:color w:val="auto"/>
                <w:szCs w:val="21"/>
              </w:rPr>
              <w:t>签字或盖章要求</w:t>
            </w:r>
          </w:p>
        </w:tc>
        <w:tc>
          <w:tcPr>
            <w:tcW w:w="6672" w:type="dxa"/>
            <w:vAlign w:val="center"/>
          </w:tcPr>
          <w:p w14:paraId="127821E8">
            <w:pPr>
              <w:widowControl/>
              <w:spacing w:line="500" w:lineRule="exact"/>
              <w:jc w:val="left"/>
              <w:rPr>
                <w:rFonts w:ascii="宋体" w:hAnsi="宋体" w:cs="宋体"/>
                <w:color w:val="auto"/>
                <w:szCs w:val="21"/>
              </w:rPr>
            </w:pPr>
            <w:r>
              <w:rPr>
                <w:rFonts w:hint="eastAsia" w:ascii="宋体" w:hAnsi="宋体" w:cs="宋体"/>
                <w:bCs/>
                <w:color w:val="auto"/>
                <w:kern w:val="0"/>
                <w:szCs w:val="21"/>
              </w:rPr>
              <w:t>投标文件须按格式文件要求签字或盖章，否则经评委会一致认定后，按照无效投标处理。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1020" w:type="dxa"/>
            <w:vAlign w:val="center"/>
          </w:tcPr>
          <w:p w14:paraId="37E03915">
            <w:pPr>
              <w:spacing w:line="500" w:lineRule="exact"/>
              <w:jc w:val="center"/>
              <w:rPr>
                <w:rFonts w:ascii="宋体" w:hAnsi="宋体" w:cs="宋体"/>
                <w:color w:val="auto"/>
                <w:szCs w:val="21"/>
              </w:rPr>
            </w:pPr>
            <w:r>
              <w:rPr>
                <w:rFonts w:hint="eastAsia" w:ascii="宋体" w:hAnsi="宋体" w:cs="宋体"/>
                <w:color w:val="auto"/>
                <w:szCs w:val="21"/>
              </w:rPr>
              <w:t>25.1</w:t>
            </w:r>
          </w:p>
        </w:tc>
        <w:tc>
          <w:tcPr>
            <w:tcW w:w="2508" w:type="dxa"/>
            <w:vAlign w:val="center"/>
          </w:tcPr>
          <w:p w14:paraId="3BC5F71A">
            <w:pPr>
              <w:spacing w:line="500" w:lineRule="exact"/>
              <w:jc w:val="left"/>
              <w:rPr>
                <w:rFonts w:ascii="宋体" w:hAnsi="宋体" w:cs="宋体"/>
                <w:color w:val="auto"/>
                <w:szCs w:val="21"/>
              </w:rPr>
            </w:pPr>
            <w:r>
              <w:rPr>
                <w:rFonts w:hint="eastAsia" w:ascii="宋体" w:hAnsi="宋体" w:cs="宋体"/>
                <w:color w:val="auto"/>
                <w:szCs w:val="21"/>
              </w:rPr>
              <w:t>投标文件提交截止时间</w:t>
            </w:r>
          </w:p>
        </w:tc>
        <w:tc>
          <w:tcPr>
            <w:tcW w:w="6672" w:type="dxa"/>
            <w:vAlign w:val="center"/>
          </w:tcPr>
          <w:p w14:paraId="13CD7D4E">
            <w:pPr>
              <w:spacing w:line="500" w:lineRule="exact"/>
              <w:rPr>
                <w:rFonts w:ascii="宋体" w:hAnsi="宋体" w:cs="宋体"/>
                <w:color w:val="auto"/>
                <w:szCs w:val="21"/>
              </w:rPr>
            </w:pPr>
            <w:r>
              <w:rPr>
                <w:rFonts w:hint="eastAsia" w:ascii="宋体" w:hAnsi="宋体" w:cs="宋体"/>
                <w:b/>
                <w:bCs/>
                <w:color w:val="auto"/>
                <w:szCs w:val="21"/>
              </w:rPr>
              <w:t>202</w:t>
            </w:r>
            <w:r>
              <w:rPr>
                <w:rFonts w:hint="eastAsia" w:ascii="宋体" w:hAnsi="宋体" w:cs="宋体"/>
                <w:b/>
                <w:bCs/>
                <w:color w:val="auto"/>
                <w:szCs w:val="21"/>
                <w:lang w:val="en-US" w:eastAsia="zh-CN"/>
              </w:rPr>
              <w:t>6</w:t>
            </w:r>
            <w:r>
              <w:rPr>
                <w:rFonts w:hint="eastAsia" w:ascii="宋体" w:hAnsi="宋体" w:cs="宋体"/>
                <w:b/>
                <w:bCs/>
                <w:color w:val="auto"/>
                <w:szCs w:val="21"/>
              </w:rPr>
              <w:t>年</w:t>
            </w:r>
            <w:r>
              <w:rPr>
                <w:rFonts w:hint="eastAsia" w:ascii="宋体" w:hAnsi="宋体" w:cs="宋体"/>
                <w:b/>
                <w:bCs/>
                <w:color w:val="auto"/>
                <w:szCs w:val="21"/>
                <w:lang w:val="en-US" w:eastAsia="zh-CN"/>
              </w:rPr>
              <w:t>5</w:t>
            </w:r>
            <w:r>
              <w:rPr>
                <w:rFonts w:hint="eastAsia" w:ascii="宋体" w:hAnsi="宋体" w:cs="宋体"/>
                <w:b/>
                <w:bCs/>
                <w:color w:val="auto"/>
                <w:szCs w:val="21"/>
              </w:rPr>
              <w:t>月</w:t>
            </w:r>
            <w:r>
              <w:rPr>
                <w:rFonts w:hint="eastAsia" w:ascii="宋体" w:hAnsi="宋体" w:cs="宋体"/>
                <w:b/>
                <w:bCs/>
                <w:color w:val="auto"/>
                <w:szCs w:val="21"/>
                <w:lang w:val="en-US" w:eastAsia="zh-CN"/>
              </w:rPr>
              <w:t>15</w:t>
            </w:r>
            <w:r>
              <w:rPr>
                <w:rFonts w:hint="eastAsia" w:ascii="宋体" w:hAnsi="宋体" w:cs="宋体"/>
                <w:b/>
                <w:bCs/>
                <w:color w:val="auto"/>
                <w:szCs w:val="21"/>
              </w:rPr>
              <w:t>日</w:t>
            </w:r>
            <w:r>
              <w:rPr>
                <w:rFonts w:hint="eastAsia" w:ascii="宋体" w:hAnsi="宋体" w:cs="宋体"/>
                <w:b/>
                <w:bCs/>
                <w:color w:val="auto"/>
                <w:szCs w:val="21"/>
                <w:lang w:val="en-US" w:eastAsia="zh-CN"/>
              </w:rPr>
              <w:t>9</w:t>
            </w:r>
            <w:r>
              <w:rPr>
                <w:rFonts w:hint="eastAsia" w:ascii="宋体" w:hAnsi="宋体" w:cs="宋体"/>
                <w:b/>
                <w:bCs/>
                <w:color w:val="auto"/>
                <w:szCs w:val="21"/>
              </w:rPr>
              <w:t>时</w:t>
            </w:r>
            <w:r>
              <w:rPr>
                <w:rFonts w:hint="eastAsia" w:ascii="宋体" w:hAnsi="宋体" w:cs="宋体"/>
                <w:b/>
                <w:bCs/>
                <w:color w:val="auto"/>
                <w:szCs w:val="21"/>
                <w:lang w:val="en-US" w:eastAsia="zh-CN"/>
              </w:rPr>
              <w:t>00</w:t>
            </w:r>
            <w:r>
              <w:rPr>
                <w:rFonts w:hint="eastAsia" w:ascii="宋体" w:hAnsi="宋体" w:cs="宋体"/>
                <w:b/>
                <w:bCs/>
                <w:color w:val="auto"/>
                <w:szCs w:val="21"/>
              </w:rPr>
              <w:t>分（北京时间）</w:t>
            </w:r>
            <w:r>
              <w:rPr>
                <w:rFonts w:hint="eastAsia" w:ascii="宋体" w:hAnsi="宋体" w:cs="宋体"/>
                <w:b/>
                <w:bCs/>
                <w:color w:val="auto"/>
                <w:szCs w:val="21"/>
              </w:rPr>
              <w:br w:type="textWrapping"/>
            </w:r>
            <w:r>
              <w:rPr>
                <w:rFonts w:hint="eastAsia" w:ascii="宋体" w:hAnsi="宋体" w:cs="宋体"/>
                <w:b/>
                <w:bCs/>
                <w:color w:val="auto"/>
                <w:szCs w:val="21"/>
                <w:highlight w:val="none"/>
              </w:rPr>
              <w:t>注：各潜在投标单位开标时可无须到现场，但必须在开标截止时间前将投标文件密封好送至滁州市城投工程咨询管理有限公司603会议室。采用邮寄方式的，拒绝到付，具体接收时间以代理机构收到的时间为准（邮寄信息：滁州市龙蟠大道109号房产大厦六楼620室，接收人：杨韦，联系方式：18005501210）</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1020" w:type="dxa"/>
            <w:vAlign w:val="center"/>
          </w:tcPr>
          <w:p w14:paraId="560C40AB">
            <w:pPr>
              <w:spacing w:line="500" w:lineRule="exact"/>
              <w:jc w:val="center"/>
              <w:rPr>
                <w:rFonts w:ascii="宋体" w:hAnsi="宋体" w:cs="宋体"/>
                <w:color w:val="auto"/>
                <w:szCs w:val="21"/>
              </w:rPr>
            </w:pPr>
            <w:r>
              <w:rPr>
                <w:rFonts w:hint="eastAsia" w:ascii="宋体" w:hAnsi="宋体" w:cs="宋体"/>
                <w:color w:val="auto"/>
                <w:szCs w:val="21"/>
              </w:rPr>
              <w:t>26.1</w:t>
            </w:r>
          </w:p>
        </w:tc>
        <w:tc>
          <w:tcPr>
            <w:tcW w:w="2508" w:type="dxa"/>
            <w:vAlign w:val="center"/>
          </w:tcPr>
          <w:p w14:paraId="719AA11E">
            <w:pPr>
              <w:spacing w:line="500" w:lineRule="exact"/>
              <w:jc w:val="left"/>
              <w:rPr>
                <w:rFonts w:ascii="宋体" w:hAnsi="宋体" w:cs="宋体"/>
                <w:color w:val="auto"/>
                <w:szCs w:val="21"/>
              </w:rPr>
            </w:pPr>
            <w:r>
              <w:rPr>
                <w:rFonts w:hint="eastAsia" w:ascii="宋体" w:hAnsi="宋体" w:cs="宋体"/>
                <w:color w:val="auto"/>
                <w:szCs w:val="21"/>
              </w:rPr>
              <w:t>是否退还投标文件</w:t>
            </w:r>
          </w:p>
        </w:tc>
        <w:tc>
          <w:tcPr>
            <w:tcW w:w="6672" w:type="dxa"/>
            <w:vAlign w:val="center"/>
          </w:tcPr>
          <w:p w14:paraId="516E23ED">
            <w:pPr>
              <w:spacing w:line="500" w:lineRule="exact"/>
              <w:rPr>
                <w:rFonts w:ascii="宋体" w:hAnsi="宋体" w:cs="宋体"/>
                <w:color w:val="auto"/>
                <w:szCs w:val="21"/>
              </w:rPr>
            </w:pPr>
            <w:r>
              <w:rPr>
                <w:rFonts w:hint="eastAsia" w:ascii="宋体" w:hAnsi="宋体" w:cs="宋体"/>
                <w:color w:val="auto"/>
                <w:szCs w:val="21"/>
              </w:rPr>
              <w:t>否</w:t>
            </w:r>
          </w:p>
        </w:tc>
      </w:tr>
      <w:tr w14:paraId="6C9112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14:paraId="41699D15">
            <w:pPr>
              <w:spacing w:line="500" w:lineRule="exact"/>
              <w:jc w:val="center"/>
              <w:rPr>
                <w:rFonts w:ascii="宋体" w:hAnsi="宋体" w:cs="宋体"/>
                <w:color w:val="auto"/>
                <w:szCs w:val="21"/>
              </w:rPr>
            </w:pPr>
            <w:r>
              <w:rPr>
                <w:rFonts w:hint="eastAsia" w:ascii="宋体" w:hAnsi="宋体" w:cs="宋体"/>
                <w:color w:val="auto"/>
                <w:szCs w:val="21"/>
              </w:rPr>
              <w:t>27.1</w:t>
            </w:r>
          </w:p>
        </w:tc>
        <w:tc>
          <w:tcPr>
            <w:tcW w:w="2508" w:type="dxa"/>
            <w:vAlign w:val="center"/>
          </w:tcPr>
          <w:p w14:paraId="19782E8B">
            <w:pPr>
              <w:spacing w:line="500" w:lineRule="exact"/>
              <w:jc w:val="left"/>
              <w:rPr>
                <w:rFonts w:ascii="宋体" w:hAnsi="宋体" w:cs="宋体"/>
                <w:color w:val="auto"/>
                <w:szCs w:val="21"/>
              </w:rPr>
            </w:pPr>
            <w:r>
              <w:rPr>
                <w:rFonts w:hint="eastAsia" w:ascii="宋体" w:hAnsi="宋体" w:cs="宋体"/>
                <w:color w:val="auto"/>
                <w:szCs w:val="21"/>
              </w:rPr>
              <w:t>开标时间及地点</w:t>
            </w:r>
          </w:p>
        </w:tc>
        <w:tc>
          <w:tcPr>
            <w:tcW w:w="6672" w:type="dxa"/>
            <w:vAlign w:val="center"/>
          </w:tcPr>
          <w:p w14:paraId="50C80A26">
            <w:pPr>
              <w:spacing w:line="500" w:lineRule="exact"/>
              <w:rPr>
                <w:rFonts w:ascii="宋体" w:hAnsi="宋体" w:cs="宋体"/>
                <w:color w:val="auto"/>
                <w:szCs w:val="21"/>
              </w:rPr>
            </w:pPr>
            <w:r>
              <w:rPr>
                <w:rFonts w:hint="eastAsia" w:ascii="宋体" w:hAnsi="宋体" w:cs="宋体"/>
                <w:color w:val="auto"/>
                <w:szCs w:val="21"/>
              </w:rPr>
              <w:t>详见第一章“招标公告”</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vAlign w:val="center"/>
          </w:tcPr>
          <w:p w14:paraId="1AA68052">
            <w:pPr>
              <w:spacing w:line="500" w:lineRule="exact"/>
              <w:jc w:val="center"/>
              <w:rPr>
                <w:rFonts w:ascii="宋体" w:hAnsi="宋体" w:cs="宋体"/>
                <w:color w:val="auto"/>
                <w:szCs w:val="21"/>
              </w:rPr>
            </w:pPr>
            <w:r>
              <w:rPr>
                <w:rFonts w:hint="eastAsia" w:ascii="宋体" w:hAnsi="宋体" w:cs="宋体"/>
                <w:color w:val="auto"/>
                <w:szCs w:val="21"/>
              </w:rPr>
              <w:t>27.3</w:t>
            </w:r>
          </w:p>
        </w:tc>
        <w:tc>
          <w:tcPr>
            <w:tcW w:w="2508" w:type="dxa"/>
            <w:vAlign w:val="center"/>
          </w:tcPr>
          <w:p w14:paraId="050AF5D1">
            <w:pPr>
              <w:spacing w:line="500" w:lineRule="exact"/>
              <w:jc w:val="left"/>
              <w:rPr>
                <w:rFonts w:ascii="宋体" w:hAnsi="宋体" w:cs="宋体"/>
                <w:color w:val="auto"/>
                <w:szCs w:val="21"/>
              </w:rPr>
            </w:pPr>
            <w:r>
              <w:rPr>
                <w:rFonts w:hint="eastAsia" w:ascii="宋体" w:hAnsi="宋体" w:cs="宋体"/>
                <w:color w:val="auto"/>
                <w:szCs w:val="21"/>
              </w:rPr>
              <w:t>开标程序</w:t>
            </w:r>
          </w:p>
        </w:tc>
        <w:tc>
          <w:tcPr>
            <w:tcW w:w="6672" w:type="dxa"/>
            <w:vAlign w:val="center"/>
          </w:tcPr>
          <w:p w14:paraId="5DF80CF5">
            <w:pPr>
              <w:spacing w:line="500" w:lineRule="exact"/>
              <w:rPr>
                <w:rFonts w:ascii="宋体" w:hAnsi="宋体" w:cs="宋体"/>
                <w:color w:val="auto"/>
                <w:szCs w:val="21"/>
              </w:rPr>
            </w:pPr>
            <w:r>
              <w:rPr>
                <w:rFonts w:hint="eastAsia" w:ascii="宋体" w:hAnsi="宋体" w:cs="宋体"/>
                <w:color w:val="auto"/>
                <w:szCs w:val="21"/>
              </w:rPr>
              <w:t>开标顺序：先</w:t>
            </w:r>
            <w:r>
              <w:rPr>
                <w:rFonts w:hint="eastAsia" w:ascii="宋体" w:hAnsi="宋体" w:cs="宋体"/>
                <w:color w:val="auto"/>
                <w:szCs w:val="21"/>
                <w:lang w:val="en-US" w:eastAsia="zh-CN"/>
              </w:rPr>
              <w:t>进行符合性审查，在进行报价评审</w:t>
            </w:r>
            <w:r>
              <w:rPr>
                <w:rFonts w:hint="eastAsia" w:ascii="宋体" w:hAnsi="宋体" w:cs="宋体"/>
                <w:color w:val="auto"/>
                <w:szCs w:val="21"/>
              </w:rPr>
              <w:t>。</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20" w:type="dxa"/>
            <w:vAlign w:val="center"/>
          </w:tcPr>
          <w:p w14:paraId="7E6D43FE">
            <w:pPr>
              <w:pStyle w:val="19"/>
              <w:spacing w:line="500" w:lineRule="exact"/>
              <w:jc w:val="center"/>
              <w:rPr>
                <w:rFonts w:hAnsi="宋体" w:cs="宋体"/>
                <w:color w:val="auto"/>
                <w:szCs w:val="21"/>
              </w:rPr>
            </w:pPr>
            <w:r>
              <w:rPr>
                <w:rFonts w:hint="eastAsia" w:hAnsi="宋体" w:cs="宋体"/>
                <w:color w:val="auto"/>
                <w:szCs w:val="21"/>
              </w:rPr>
              <w:t>28.1</w:t>
            </w:r>
          </w:p>
        </w:tc>
        <w:tc>
          <w:tcPr>
            <w:tcW w:w="2508" w:type="dxa"/>
            <w:vAlign w:val="center"/>
          </w:tcPr>
          <w:p w14:paraId="207C4547">
            <w:pPr>
              <w:pStyle w:val="19"/>
              <w:spacing w:line="500" w:lineRule="exact"/>
              <w:jc w:val="left"/>
              <w:rPr>
                <w:rFonts w:hAnsi="宋体" w:cs="宋体"/>
                <w:color w:val="auto"/>
                <w:szCs w:val="21"/>
              </w:rPr>
            </w:pPr>
            <w:r>
              <w:rPr>
                <w:rFonts w:hint="eastAsia" w:hAnsi="宋体" w:cs="宋体"/>
                <w:color w:val="auto"/>
                <w:szCs w:val="21"/>
              </w:rPr>
              <w:t>评标委员会的组建</w:t>
            </w:r>
          </w:p>
        </w:tc>
        <w:tc>
          <w:tcPr>
            <w:tcW w:w="6672" w:type="dxa"/>
          </w:tcPr>
          <w:p w14:paraId="266A046A">
            <w:pPr>
              <w:pStyle w:val="19"/>
              <w:spacing w:line="500" w:lineRule="exact"/>
              <w:rPr>
                <w:rFonts w:hAnsi="宋体" w:cs="宋体"/>
                <w:color w:val="auto"/>
                <w:szCs w:val="21"/>
              </w:rPr>
            </w:pPr>
            <w:r>
              <w:rPr>
                <w:rFonts w:hint="eastAsia" w:hAnsi="宋体" w:cs="宋体"/>
                <w:color w:val="auto"/>
                <w:szCs w:val="21"/>
              </w:rPr>
              <w:t>招标人依法组建。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20" w:type="dxa"/>
            <w:vAlign w:val="center"/>
          </w:tcPr>
          <w:p w14:paraId="74DF9AF5">
            <w:pPr>
              <w:pStyle w:val="19"/>
              <w:spacing w:line="500" w:lineRule="exact"/>
              <w:jc w:val="center"/>
              <w:rPr>
                <w:rFonts w:hAnsi="宋体" w:cs="宋体"/>
                <w:color w:val="auto"/>
                <w:szCs w:val="21"/>
              </w:rPr>
            </w:pPr>
            <w:r>
              <w:rPr>
                <w:rFonts w:hint="eastAsia" w:hAnsi="宋体" w:cs="宋体"/>
                <w:color w:val="auto"/>
                <w:szCs w:val="21"/>
              </w:rPr>
              <w:t>30.1.1</w:t>
            </w:r>
          </w:p>
        </w:tc>
        <w:tc>
          <w:tcPr>
            <w:tcW w:w="2508" w:type="dxa"/>
            <w:vAlign w:val="center"/>
          </w:tcPr>
          <w:p w14:paraId="78FAAE33">
            <w:pPr>
              <w:pStyle w:val="19"/>
              <w:spacing w:line="500" w:lineRule="exact"/>
              <w:jc w:val="left"/>
              <w:rPr>
                <w:rFonts w:hAnsi="宋体" w:cs="宋体"/>
                <w:color w:val="auto"/>
                <w:szCs w:val="21"/>
              </w:rPr>
            </w:pPr>
            <w:r>
              <w:rPr>
                <w:rFonts w:hint="eastAsia" w:hAnsi="宋体" w:cs="宋体"/>
                <w:color w:val="auto"/>
                <w:szCs w:val="21"/>
              </w:rPr>
              <w:t>是否授权评标委员会确定中标候选人</w:t>
            </w:r>
          </w:p>
        </w:tc>
        <w:tc>
          <w:tcPr>
            <w:tcW w:w="6672" w:type="dxa"/>
            <w:vAlign w:val="center"/>
          </w:tcPr>
          <w:p w14:paraId="32475C60">
            <w:pPr>
              <w:pStyle w:val="19"/>
              <w:spacing w:line="500" w:lineRule="exact"/>
              <w:rPr>
                <w:rFonts w:hAnsi="宋体" w:cs="宋体"/>
                <w:color w:val="auto"/>
                <w:szCs w:val="21"/>
              </w:rPr>
            </w:pPr>
            <w:r>
              <w:rPr>
                <w:rFonts w:hint="eastAsia" w:hAnsi="宋体" w:cs="宋体"/>
                <w:color w:val="auto"/>
                <w:szCs w:val="21"/>
              </w:rPr>
              <w:t>是，评标委员会推荐</w:t>
            </w:r>
            <w:r>
              <w:rPr>
                <w:rFonts w:hint="eastAsia" w:hAnsi="宋体" w:cs="宋体"/>
                <w:color w:val="auto"/>
                <w:szCs w:val="21"/>
                <w:u w:val="single"/>
              </w:rPr>
              <w:t xml:space="preserve"> 3</w:t>
            </w:r>
            <w:r>
              <w:rPr>
                <w:rFonts w:hint="eastAsia" w:hAnsi="宋体" w:cs="宋体"/>
                <w:color w:val="auto"/>
                <w:szCs w:val="21"/>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20" w:type="dxa"/>
            <w:vAlign w:val="center"/>
          </w:tcPr>
          <w:p w14:paraId="3B796C28">
            <w:pPr>
              <w:spacing w:line="500" w:lineRule="exact"/>
              <w:jc w:val="center"/>
              <w:rPr>
                <w:rFonts w:ascii="宋体" w:hAnsi="宋体" w:cs="宋体"/>
                <w:color w:val="auto"/>
                <w:szCs w:val="21"/>
              </w:rPr>
            </w:pPr>
            <w:r>
              <w:rPr>
                <w:rFonts w:hint="eastAsia" w:ascii="宋体" w:hAnsi="宋体" w:cs="宋体"/>
                <w:color w:val="auto"/>
                <w:szCs w:val="21"/>
              </w:rPr>
              <w:t>30.2</w:t>
            </w:r>
          </w:p>
        </w:tc>
        <w:tc>
          <w:tcPr>
            <w:tcW w:w="2508" w:type="dxa"/>
            <w:vAlign w:val="center"/>
          </w:tcPr>
          <w:p w14:paraId="71147DF9">
            <w:pPr>
              <w:spacing w:line="500" w:lineRule="exact"/>
              <w:jc w:val="left"/>
              <w:rPr>
                <w:rFonts w:ascii="宋体" w:hAnsi="宋体" w:cs="宋体"/>
                <w:color w:val="auto"/>
                <w:szCs w:val="21"/>
              </w:rPr>
            </w:pPr>
            <w:r>
              <w:rPr>
                <w:rFonts w:hint="eastAsia" w:ascii="宋体" w:hAnsi="宋体" w:cs="宋体"/>
                <w:color w:val="auto"/>
                <w:szCs w:val="21"/>
              </w:rPr>
              <w:t>中标通知书</w:t>
            </w:r>
          </w:p>
        </w:tc>
        <w:tc>
          <w:tcPr>
            <w:tcW w:w="6672" w:type="dxa"/>
            <w:vAlign w:val="center"/>
          </w:tcPr>
          <w:p w14:paraId="532B0185">
            <w:pPr>
              <w:spacing w:line="500" w:lineRule="exact"/>
              <w:rPr>
                <w:rFonts w:ascii="宋体" w:hAnsi="宋体" w:cs="宋体"/>
                <w:color w:val="auto"/>
                <w:szCs w:val="21"/>
              </w:rPr>
            </w:pPr>
            <w:r>
              <w:rPr>
                <w:rFonts w:hint="eastAsia" w:ascii="宋体" w:hAnsi="宋体" w:cs="宋体"/>
                <w:color w:val="auto"/>
                <w:szCs w:val="21"/>
              </w:rPr>
              <w:t>中标通知书须加盖招标人及代理机构公章后方可发出。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vAlign w:val="center"/>
          </w:tcPr>
          <w:p w14:paraId="2CC50515">
            <w:pPr>
              <w:spacing w:line="500" w:lineRule="exact"/>
              <w:jc w:val="center"/>
              <w:rPr>
                <w:rFonts w:ascii="宋体" w:hAnsi="宋体" w:cs="宋体"/>
                <w:color w:val="auto"/>
                <w:szCs w:val="21"/>
              </w:rPr>
            </w:pPr>
            <w:r>
              <w:rPr>
                <w:rFonts w:hint="eastAsia" w:ascii="宋体" w:hAnsi="宋体" w:cs="宋体"/>
                <w:color w:val="auto"/>
                <w:szCs w:val="21"/>
              </w:rPr>
              <w:t>34.1</w:t>
            </w:r>
          </w:p>
        </w:tc>
        <w:tc>
          <w:tcPr>
            <w:tcW w:w="2508" w:type="dxa"/>
            <w:vAlign w:val="center"/>
          </w:tcPr>
          <w:p w14:paraId="3311133A">
            <w:pPr>
              <w:spacing w:line="500" w:lineRule="exact"/>
              <w:jc w:val="left"/>
              <w:rPr>
                <w:rFonts w:ascii="宋体" w:hAnsi="宋体" w:cs="宋体"/>
                <w:color w:val="auto"/>
                <w:szCs w:val="21"/>
              </w:rPr>
            </w:pPr>
            <w:r>
              <w:rPr>
                <w:rFonts w:hint="eastAsia" w:ascii="宋体" w:hAnsi="宋体" w:cs="宋体"/>
                <w:color w:val="auto"/>
                <w:szCs w:val="21"/>
              </w:rPr>
              <w:t>履约担保</w:t>
            </w:r>
          </w:p>
        </w:tc>
        <w:tc>
          <w:tcPr>
            <w:tcW w:w="6672" w:type="dxa"/>
            <w:vAlign w:val="center"/>
          </w:tcPr>
          <w:p w14:paraId="5F4DBF99">
            <w:pPr>
              <w:wordWrap w:val="0"/>
              <w:spacing w:line="500" w:lineRule="exact"/>
              <w:rPr>
                <w:rFonts w:hint="eastAsia" w:ascii="宋体" w:hAnsi="宋体" w:cs="宋体"/>
                <w:color w:val="auto"/>
                <w:szCs w:val="21"/>
              </w:rPr>
            </w:pPr>
            <w:r>
              <w:rPr>
                <w:rFonts w:hint="eastAsia" w:ascii="宋体" w:hAnsi="宋体" w:cs="宋体"/>
                <w:color w:val="auto"/>
                <w:szCs w:val="21"/>
              </w:rPr>
              <w:t>要求中标人提交履约保证金。</w:t>
            </w:r>
          </w:p>
          <w:p w14:paraId="707B91CF">
            <w:pPr>
              <w:wordWrap w:val="0"/>
              <w:spacing w:line="500" w:lineRule="exact"/>
              <w:rPr>
                <w:rFonts w:hint="eastAsia" w:ascii="宋体" w:hAnsi="宋体" w:cs="宋体"/>
                <w:color w:val="auto"/>
                <w:szCs w:val="21"/>
              </w:rPr>
            </w:pPr>
            <w:r>
              <w:rPr>
                <w:rFonts w:hint="eastAsia" w:ascii="宋体" w:hAnsi="宋体" w:cs="宋体"/>
                <w:color w:val="auto"/>
                <w:szCs w:val="21"/>
              </w:rPr>
              <w:t>形式：支持银行转账、银行电汇、银行保函、担保机构担保、保证保险使用。</w:t>
            </w:r>
          </w:p>
          <w:p w14:paraId="13259634">
            <w:pPr>
              <w:wordWrap w:val="0"/>
              <w:spacing w:line="500" w:lineRule="exact"/>
              <w:rPr>
                <w:rFonts w:hint="eastAsia" w:ascii="宋体" w:hAnsi="宋体" w:cs="宋体"/>
                <w:color w:val="auto"/>
                <w:szCs w:val="21"/>
              </w:rPr>
            </w:pPr>
            <w:r>
              <w:rPr>
                <w:rFonts w:hint="eastAsia" w:ascii="宋体" w:hAnsi="宋体" w:cs="宋体"/>
                <w:color w:val="auto"/>
                <w:szCs w:val="21"/>
              </w:rPr>
              <w:t>金   额：按单座磅房</w:t>
            </w:r>
            <w:r>
              <w:rPr>
                <w:rFonts w:hint="eastAsia" w:ascii="宋体" w:hAnsi="宋体" w:cs="宋体"/>
                <w:color w:val="auto"/>
                <w:szCs w:val="21"/>
                <w:lang w:val="en-US" w:eastAsia="zh-CN"/>
              </w:rPr>
              <w:t>服务</w:t>
            </w:r>
            <w:r>
              <w:rPr>
                <w:rFonts w:hint="eastAsia" w:ascii="宋体" w:hAnsi="宋体" w:cs="宋体"/>
                <w:color w:val="auto"/>
                <w:szCs w:val="21"/>
              </w:rPr>
              <w:t>中标金额×2座×10%计算缴纳</w:t>
            </w:r>
            <w:r>
              <w:rPr>
                <w:rFonts w:hint="eastAsia" w:ascii="宋体" w:hAnsi="宋体" w:cs="宋体"/>
                <w:color w:val="auto"/>
                <w:szCs w:val="21"/>
                <w:lang w:eastAsia="zh-CN"/>
              </w:rPr>
              <w:t>。</w:t>
            </w:r>
          </w:p>
          <w:p w14:paraId="657FC6FF">
            <w:pPr>
              <w:wordWrap w:val="0"/>
              <w:spacing w:line="500" w:lineRule="exact"/>
              <w:rPr>
                <w:rFonts w:hint="eastAsia" w:ascii="宋体" w:hAnsi="宋体" w:cs="宋体"/>
                <w:color w:val="auto"/>
                <w:szCs w:val="21"/>
              </w:rPr>
            </w:pPr>
            <w:r>
              <w:rPr>
                <w:rFonts w:hint="eastAsia" w:ascii="宋体" w:hAnsi="宋体" w:cs="宋体"/>
                <w:color w:val="auto"/>
                <w:szCs w:val="21"/>
              </w:rPr>
              <w:t xml:space="preserve">收款单位：滁州市兴滁实业有限公司 </w:t>
            </w:r>
          </w:p>
          <w:p w14:paraId="697E2998">
            <w:pPr>
              <w:wordWrap w:val="0"/>
              <w:spacing w:line="500" w:lineRule="exact"/>
              <w:rPr>
                <w:rFonts w:hint="eastAsia" w:ascii="宋体" w:hAnsi="宋体" w:cs="宋体"/>
                <w:color w:val="auto"/>
                <w:szCs w:val="21"/>
              </w:rPr>
            </w:pPr>
            <w:r>
              <w:rPr>
                <w:rFonts w:hint="eastAsia" w:ascii="宋体" w:hAnsi="宋体" w:cs="宋体"/>
                <w:color w:val="auto"/>
                <w:szCs w:val="21"/>
              </w:rPr>
              <w:t xml:space="preserve">开户银行:另行通知 </w:t>
            </w:r>
          </w:p>
          <w:p w14:paraId="75C23E38">
            <w:pPr>
              <w:wordWrap w:val="0"/>
              <w:spacing w:line="500" w:lineRule="exact"/>
              <w:rPr>
                <w:rFonts w:hint="eastAsia" w:ascii="宋体" w:hAnsi="宋体" w:cs="宋体"/>
                <w:color w:val="auto"/>
                <w:szCs w:val="21"/>
              </w:rPr>
            </w:pPr>
            <w:r>
              <w:rPr>
                <w:rFonts w:hint="eastAsia" w:ascii="宋体" w:hAnsi="宋体" w:cs="宋体"/>
                <w:color w:val="auto"/>
                <w:szCs w:val="21"/>
              </w:rPr>
              <w:t xml:space="preserve">银行账号：另行通知                </w:t>
            </w:r>
          </w:p>
          <w:p w14:paraId="1AA2322B">
            <w:pPr>
              <w:wordWrap w:val="0"/>
              <w:spacing w:line="500" w:lineRule="exact"/>
              <w:rPr>
                <w:rFonts w:hint="eastAsia" w:ascii="宋体" w:hAnsi="宋体" w:cs="宋体"/>
                <w:color w:val="auto"/>
                <w:szCs w:val="21"/>
              </w:rPr>
            </w:pPr>
            <w:r>
              <w:rPr>
                <w:rFonts w:hint="eastAsia" w:ascii="宋体" w:hAnsi="宋体" w:cs="宋体"/>
                <w:color w:val="auto"/>
                <w:szCs w:val="21"/>
              </w:rPr>
              <w:t xml:space="preserve">缴纳时限：签订合同前缴纳 </w:t>
            </w:r>
          </w:p>
          <w:p w14:paraId="0C441094">
            <w:pPr>
              <w:wordWrap w:val="0"/>
              <w:spacing w:line="500" w:lineRule="exact"/>
              <w:rPr>
                <w:rFonts w:hint="eastAsia" w:ascii="宋体" w:hAnsi="宋体" w:eastAsia="宋体" w:cs="宋体"/>
                <w:color w:val="auto"/>
                <w:szCs w:val="21"/>
                <w:lang w:eastAsia="zh-CN"/>
              </w:rPr>
            </w:pPr>
            <w:r>
              <w:rPr>
                <w:rFonts w:hint="eastAsia" w:ascii="宋体" w:hAnsi="宋体" w:cs="宋体"/>
                <w:color w:val="auto"/>
                <w:szCs w:val="21"/>
              </w:rPr>
              <w:t>履约保证金退还时限：合同期满无违约7日内全额</w:t>
            </w:r>
            <w:bookmarkStart w:id="92" w:name="_GoBack"/>
            <w:r>
              <w:rPr>
                <w:rFonts w:hint="eastAsia" w:ascii="宋体" w:hAnsi="宋体" w:cs="宋体"/>
                <w:color w:val="auto"/>
                <w:szCs w:val="21"/>
                <w:lang w:val="en-US" w:eastAsia="zh-CN"/>
              </w:rPr>
              <w:t>无息</w:t>
            </w:r>
            <w:bookmarkEnd w:id="92"/>
            <w:r>
              <w:rPr>
                <w:rFonts w:hint="eastAsia" w:ascii="宋体" w:hAnsi="宋体" w:cs="宋体"/>
                <w:color w:val="auto"/>
                <w:szCs w:val="21"/>
              </w:rPr>
              <w:t>退还</w:t>
            </w:r>
            <w:r>
              <w:rPr>
                <w:rFonts w:hint="eastAsia" w:ascii="宋体" w:hAnsi="宋体" w:cs="宋体"/>
                <w:color w:val="auto"/>
                <w:szCs w:val="21"/>
                <w:lang w:eastAsia="zh-CN"/>
              </w:rPr>
              <w:t>。</w:t>
            </w:r>
          </w:p>
          <w:p w14:paraId="49402C06">
            <w:pPr>
              <w:wordWrap w:val="0"/>
              <w:spacing w:line="500" w:lineRule="exact"/>
              <w:rPr>
                <w:rFonts w:ascii="宋体" w:hAnsi="宋体" w:cs="宋体"/>
                <w:color w:val="auto"/>
                <w:szCs w:val="21"/>
              </w:rPr>
            </w:pPr>
            <w:r>
              <w:rPr>
                <w:rFonts w:hint="eastAsia" w:ascii="宋体" w:hAnsi="宋体" w:cs="宋体"/>
                <w:color w:val="auto"/>
                <w:szCs w:val="21"/>
              </w:rPr>
              <w:t>其他相关要求：满足招标人要求；</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vAlign w:val="center"/>
          </w:tcPr>
          <w:p w14:paraId="41F8AE0A">
            <w:pPr>
              <w:spacing w:line="500" w:lineRule="exact"/>
              <w:jc w:val="center"/>
              <w:rPr>
                <w:rFonts w:ascii="宋体" w:hAnsi="宋体" w:cs="宋体"/>
                <w:color w:val="auto"/>
                <w:szCs w:val="21"/>
              </w:rPr>
            </w:pPr>
            <w:r>
              <w:rPr>
                <w:rFonts w:hint="eastAsia" w:ascii="宋体" w:hAnsi="宋体" w:cs="宋体"/>
                <w:color w:val="auto"/>
                <w:szCs w:val="21"/>
              </w:rPr>
              <w:t>39.2</w:t>
            </w:r>
          </w:p>
        </w:tc>
        <w:tc>
          <w:tcPr>
            <w:tcW w:w="2508" w:type="dxa"/>
            <w:vAlign w:val="center"/>
          </w:tcPr>
          <w:p w14:paraId="7821FEC4">
            <w:pPr>
              <w:spacing w:line="500" w:lineRule="exact"/>
              <w:jc w:val="left"/>
              <w:rPr>
                <w:rFonts w:ascii="宋体" w:hAnsi="宋体" w:cs="宋体"/>
                <w:color w:val="auto"/>
                <w:szCs w:val="21"/>
              </w:rPr>
            </w:pPr>
            <w:r>
              <w:rPr>
                <w:rFonts w:hint="eastAsia" w:ascii="宋体" w:hAnsi="宋体" w:cs="宋体"/>
                <w:color w:val="auto"/>
                <w:szCs w:val="21"/>
              </w:rPr>
              <w:t>投标人对招标文件提出质疑的截止时间及方式</w:t>
            </w:r>
          </w:p>
        </w:tc>
        <w:tc>
          <w:tcPr>
            <w:tcW w:w="6672" w:type="dxa"/>
            <w:vAlign w:val="center"/>
          </w:tcPr>
          <w:p w14:paraId="7DD765F2">
            <w:pPr>
              <w:widowControl/>
              <w:spacing w:line="500" w:lineRule="exact"/>
              <w:jc w:val="left"/>
              <w:rPr>
                <w:rFonts w:ascii="宋体" w:hAnsi="宋体" w:cs="宋体"/>
                <w:color w:val="auto"/>
                <w:szCs w:val="21"/>
              </w:rPr>
            </w:pPr>
            <w:r>
              <w:rPr>
                <w:rFonts w:hint="eastAsia" w:ascii="宋体" w:hAnsi="宋体" w:cs="宋体"/>
                <w:color w:val="auto"/>
                <w:szCs w:val="21"/>
              </w:rPr>
              <w:t>如投标人对招标文件有质疑，可以于</w:t>
            </w:r>
            <w:r>
              <w:rPr>
                <w:rFonts w:hint="eastAsia" w:ascii="宋体" w:hAnsi="宋体" w:cs="宋体"/>
                <w:b/>
                <w:bCs/>
                <w:color w:val="auto"/>
                <w:szCs w:val="21"/>
              </w:rPr>
              <w:t>202</w:t>
            </w:r>
            <w:r>
              <w:rPr>
                <w:rFonts w:hint="eastAsia" w:ascii="宋体" w:hAnsi="宋体" w:cs="宋体"/>
                <w:b/>
                <w:bCs/>
                <w:color w:val="auto"/>
                <w:szCs w:val="21"/>
                <w:lang w:val="en-US" w:eastAsia="zh-CN"/>
              </w:rPr>
              <w:t>6</w:t>
            </w:r>
            <w:r>
              <w:rPr>
                <w:rFonts w:hint="eastAsia" w:ascii="宋体" w:hAnsi="宋体" w:cs="宋体"/>
                <w:b/>
                <w:bCs/>
                <w:color w:val="auto"/>
                <w:szCs w:val="21"/>
              </w:rPr>
              <w:t>年</w:t>
            </w:r>
            <w:r>
              <w:rPr>
                <w:rFonts w:hint="eastAsia" w:ascii="宋体" w:hAnsi="宋体" w:cs="宋体"/>
                <w:b/>
                <w:bCs/>
                <w:color w:val="auto"/>
                <w:szCs w:val="21"/>
                <w:lang w:val="en-US" w:eastAsia="zh-CN"/>
              </w:rPr>
              <w:t>5</w:t>
            </w:r>
            <w:r>
              <w:rPr>
                <w:rFonts w:hint="eastAsia" w:ascii="宋体" w:hAnsi="宋体" w:cs="宋体"/>
                <w:b/>
                <w:bCs/>
                <w:color w:val="auto"/>
                <w:szCs w:val="21"/>
              </w:rPr>
              <w:t>月</w:t>
            </w:r>
            <w:r>
              <w:rPr>
                <w:rFonts w:hint="eastAsia" w:ascii="宋体" w:hAnsi="宋体" w:cs="宋体"/>
                <w:b/>
                <w:bCs/>
                <w:color w:val="auto"/>
                <w:szCs w:val="21"/>
                <w:lang w:val="en-US" w:eastAsia="zh-CN"/>
              </w:rPr>
              <w:t>11</w:t>
            </w:r>
            <w:r>
              <w:rPr>
                <w:rFonts w:hint="eastAsia" w:ascii="宋体" w:hAnsi="宋体" w:cs="宋体"/>
                <w:b/>
                <w:bCs/>
                <w:color w:val="auto"/>
                <w:szCs w:val="21"/>
              </w:rPr>
              <w:t>日17时前</w:t>
            </w:r>
            <w:r>
              <w:rPr>
                <w:rFonts w:hint="eastAsia" w:ascii="宋体" w:hAnsi="宋体" w:cs="宋体"/>
                <w:color w:val="auto"/>
                <w:szCs w:val="21"/>
              </w:rPr>
              <w:t>以邮件形式发送至603727167@qq.com</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vAlign w:val="center"/>
          </w:tcPr>
          <w:p w14:paraId="5A873409">
            <w:pPr>
              <w:spacing w:line="500" w:lineRule="exact"/>
              <w:jc w:val="center"/>
              <w:rPr>
                <w:rFonts w:ascii="宋体" w:hAnsi="宋体" w:cs="宋体"/>
                <w:color w:val="auto"/>
                <w:szCs w:val="21"/>
              </w:rPr>
            </w:pPr>
            <w:r>
              <w:rPr>
                <w:rFonts w:hint="eastAsia" w:ascii="宋体" w:hAnsi="宋体" w:cs="宋体"/>
                <w:color w:val="auto"/>
                <w:szCs w:val="21"/>
              </w:rPr>
              <w:t>39.6</w:t>
            </w:r>
          </w:p>
        </w:tc>
        <w:tc>
          <w:tcPr>
            <w:tcW w:w="2508" w:type="dxa"/>
            <w:vAlign w:val="center"/>
          </w:tcPr>
          <w:p w14:paraId="0FDF8B7C">
            <w:pPr>
              <w:pStyle w:val="19"/>
              <w:spacing w:line="500" w:lineRule="exact"/>
              <w:jc w:val="left"/>
              <w:rPr>
                <w:rFonts w:hAnsi="宋体" w:cs="宋体"/>
                <w:color w:val="auto"/>
                <w:szCs w:val="21"/>
              </w:rPr>
            </w:pPr>
            <w:r>
              <w:rPr>
                <w:rFonts w:hint="eastAsia" w:hAnsi="宋体" w:cs="宋体"/>
                <w:color w:val="auto"/>
                <w:szCs w:val="21"/>
              </w:rPr>
              <w:t>招标人答复在线质疑的时间及方式</w:t>
            </w:r>
          </w:p>
        </w:tc>
        <w:tc>
          <w:tcPr>
            <w:tcW w:w="6672" w:type="dxa"/>
            <w:vAlign w:val="center"/>
          </w:tcPr>
          <w:p w14:paraId="72AD2085">
            <w:pPr>
              <w:spacing w:line="500" w:lineRule="exact"/>
              <w:rPr>
                <w:rFonts w:ascii="宋体" w:hAnsi="宋体" w:cs="宋体"/>
                <w:color w:val="auto"/>
                <w:szCs w:val="21"/>
                <w:u w:val="single"/>
              </w:rPr>
            </w:pPr>
            <w:r>
              <w:rPr>
                <w:rFonts w:hint="eastAsia" w:ascii="宋体" w:hAnsi="宋体" w:cs="宋体"/>
                <w:color w:val="auto"/>
                <w:szCs w:val="21"/>
              </w:rPr>
              <w:t>同15.4“招标人澄清的方式”。</w:t>
            </w:r>
          </w:p>
        </w:tc>
      </w:tr>
      <w:tr w14:paraId="2B8A8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3528" w:type="dxa"/>
            <w:gridSpan w:val="2"/>
            <w:vAlign w:val="center"/>
          </w:tcPr>
          <w:p w14:paraId="49379624">
            <w:pPr>
              <w:spacing w:line="500" w:lineRule="exact"/>
              <w:jc w:val="left"/>
              <w:rPr>
                <w:rFonts w:ascii="宋体" w:hAnsi="宋体" w:cs="宋体"/>
                <w:color w:val="auto"/>
                <w:szCs w:val="21"/>
              </w:rPr>
            </w:pPr>
            <w:r>
              <w:rPr>
                <w:rFonts w:hint="eastAsia" w:ascii="宋体" w:hAnsi="宋体" w:cs="宋体"/>
                <w:color w:val="auto"/>
                <w:szCs w:val="21"/>
              </w:rPr>
              <w:t>付款方式、时间、条件</w:t>
            </w:r>
          </w:p>
        </w:tc>
        <w:tc>
          <w:tcPr>
            <w:tcW w:w="6672" w:type="dxa"/>
            <w:vAlign w:val="center"/>
          </w:tcPr>
          <w:p w14:paraId="4A1AFAF3">
            <w:pPr>
              <w:spacing w:line="500" w:lineRule="exact"/>
              <w:rPr>
                <w:color w:val="auto"/>
              </w:rPr>
            </w:pPr>
            <w:r>
              <w:rPr>
                <w:rFonts w:hint="eastAsia"/>
                <w:color w:val="auto"/>
              </w:rPr>
              <w:t>按月</w:t>
            </w:r>
            <w:r>
              <w:rPr>
                <w:rFonts w:hint="eastAsia"/>
                <w:color w:val="auto"/>
                <w:lang w:val="en-US" w:eastAsia="zh-CN"/>
              </w:rPr>
              <w:t>据实</w:t>
            </w:r>
            <w:r>
              <w:rPr>
                <w:rFonts w:hint="eastAsia"/>
                <w:color w:val="auto"/>
              </w:rPr>
              <w:t>结算，不足一个月</w:t>
            </w:r>
            <w:r>
              <w:rPr>
                <w:rFonts w:hint="eastAsia"/>
                <w:color w:val="auto"/>
                <w:lang w:val="en-US" w:eastAsia="zh-CN"/>
              </w:rPr>
              <w:t>的，以15个日历天为标准，超过15个日历天按月结算，不足15个日历天的按天结算（即年中标价/365-对应处罚费用）</w:t>
            </w:r>
            <w:r>
              <w:rPr>
                <w:rFonts w:hint="eastAsia"/>
                <w:color w:val="auto"/>
                <w:lang w:eastAsia="zh-CN"/>
              </w:rPr>
              <w:t>。</w:t>
            </w:r>
            <w:r>
              <w:rPr>
                <w:rFonts w:hint="eastAsia"/>
                <w:color w:val="auto"/>
              </w:rPr>
              <w:t>中标人每月末提交合格的服务结算资料，采购人审核通过后在约定时间内支付对应月份服务费用（即年中标价/12-对应处罚费用）。</w:t>
            </w:r>
          </w:p>
        </w:tc>
      </w:tr>
    </w:tbl>
    <w:p w14:paraId="6D011AD1">
      <w:pPr>
        <w:rPr>
          <w:rFonts w:ascii="宋体"/>
          <w:b/>
          <w:color w:val="auto"/>
          <w:sz w:val="32"/>
          <w:szCs w:val="32"/>
        </w:rPr>
      </w:pPr>
      <w:bookmarkStart w:id="24" w:name="_Toc449028866"/>
      <w:bookmarkStart w:id="25" w:name="_Toc58430315"/>
      <w:r>
        <w:rPr>
          <w:rFonts w:hint="eastAsia" w:ascii="宋体"/>
          <w:b/>
          <w:color w:val="auto"/>
          <w:sz w:val="32"/>
          <w:szCs w:val="32"/>
        </w:rPr>
        <w:br w:type="page"/>
      </w:r>
    </w:p>
    <w:p w14:paraId="5D092569">
      <w:pPr>
        <w:snapToGrid w:val="0"/>
        <w:spacing w:before="93" w:beforeLines="30" w:after="93" w:afterLines="30" w:line="500" w:lineRule="exact"/>
        <w:jc w:val="center"/>
        <w:outlineLvl w:val="1"/>
        <w:rPr>
          <w:rFonts w:ascii="宋体"/>
          <w:b/>
          <w:color w:val="auto"/>
          <w:sz w:val="32"/>
          <w:szCs w:val="32"/>
        </w:rPr>
      </w:pPr>
      <w:r>
        <w:rPr>
          <w:rFonts w:hint="eastAsia" w:ascii="宋体"/>
          <w:b/>
          <w:color w:val="auto"/>
          <w:sz w:val="32"/>
          <w:szCs w:val="32"/>
        </w:rPr>
        <w:t>二、投标人须知</w:t>
      </w:r>
      <w:bookmarkEnd w:id="24"/>
      <w:bookmarkEnd w:id="25"/>
    </w:p>
    <w:p w14:paraId="7DB5F582">
      <w:pPr>
        <w:spacing w:before="93" w:beforeLines="30" w:after="93" w:afterLines="30" w:line="500" w:lineRule="exact"/>
        <w:jc w:val="center"/>
        <w:rPr>
          <w:rFonts w:ascii="宋体" w:hAnsi="宋体" w:cs="宋体"/>
          <w:color w:val="auto"/>
          <w:sz w:val="28"/>
          <w:szCs w:val="28"/>
        </w:rPr>
      </w:pPr>
      <w:bookmarkStart w:id="26" w:name="_Toc449028867"/>
      <w:r>
        <w:rPr>
          <w:rFonts w:hint="eastAsia" w:ascii="宋体" w:hAnsi="宋体" w:cs="宋体"/>
          <w:b/>
          <w:color w:val="auto"/>
          <w:sz w:val="28"/>
          <w:szCs w:val="28"/>
        </w:rPr>
        <w:t>（一）</w:t>
      </w:r>
      <w:r>
        <w:rPr>
          <w:rFonts w:hint="eastAsia" w:ascii="宋体" w:hAnsi="宋体" w:cs="宋体"/>
          <w:b/>
          <w:color w:val="auto"/>
          <w:sz w:val="28"/>
          <w:szCs w:val="32"/>
        </w:rPr>
        <w:t>总  则</w:t>
      </w:r>
      <w:bookmarkEnd w:id="26"/>
    </w:p>
    <w:p w14:paraId="265DF292">
      <w:pPr>
        <w:snapToGrid w:val="0"/>
        <w:spacing w:line="500" w:lineRule="exact"/>
        <w:ind w:firstLine="422" w:firstLineChars="200"/>
        <w:rPr>
          <w:rFonts w:ascii="宋体" w:hAnsi="宋体" w:cs="宋体"/>
          <w:b/>
          <w:color w:val="auto"/>
          <w:szCs w:val="21"/>
        </w:rPr>
      </w:pPr>
      <w:r>
        <w:rPr>
          <w:rFonts w:hint="eastAsia" w:ascii="宋体" w:hAnsi="宋体" w:cs="宋体"/>
          <w:b/>
          <w:color w:val="auto"/>
          <w:szCs w:val="21"/>
        </w:rPr>
        <w:t>1.项目概况</w:t>
      </w:r>
    </w:p>
    <w:p w14:paraId="18ED1D73">
      <w:pPr>
        <w:snapToGrid w:val="0"/>
        <w:spacing w:line="500" w:lineRule="exact"/>
        <w:ind w:firstLine="420" w:firstLineChars="200"/>
        <w:rPr>
          <w:rFonts w:ascii="宋体" w:hAnsi="宋体" w:cs="宋体"/>
          <w:color w:val="auto"/>
          <w:szCs w:val="21"/>
          <w:u w:val="single"/>
        </w:rPr>
      </w:pPr>
      <w:r>
        <w:rPr>
          <w:rFonts w:hint="eastAsia" w:ascii="宋体" w:hAnsi="宋体" w:cs="宋体"/>
          <w:color w:val="auto"/>
          <w:szCs w:val="21"/>
        </w:rPr>
        <w:t>1.1本次招标采购项目名称：见投标人须知前附表。</w:t>
      </w:r>
    </w:p>
    <w:p w14:paraId="7A91EC09">
      <w:pPr>
        <w:snapToGrid w:val="0"/>
        <w:spacing w:line="500" w:lineRule="exact"/>
        <w:ind w:firstLine="840" w:firstLineChars="400"/>
        <w:rPr>
          <w:rFonts w:ascii="宋体" w:hAnsi="宋体" w:cs="宋体"/>
          <w:color w:val="auto"/>
          <w:szCs w:val="21"/>
          <w:u w:val="single"/>
        </w:rPr>
      </w:pPr>
      <w:r>
        <w:rPr>
          <w:rFonts w:hint="eastAsia" w:ascii="宋体" w:hAnsi="宋体" w:cs="宋体"/>
          <w:color w:val="auto"/>
          <w:szCs w:val="21"/>
        </w:rPr>
        <w:t>项目编号：见投标人须知前附表。</w:t>
      </w:r>
    </w:p>
    <w:p w14:paraId="350DBABB">
      <w:pPr>
        <w:snapToGrid w:val="0"/>
        <w:spacing w:line="500" w:lineRule="exact"/>
        <w:ind w:firstLine="420" w:firstLineChars="200"/>
        <w:rPr>
          <w:rFonts w:ascii="宋体" w:hAnsi="宋体" w:cs="宋体"/>
          <w:color w:val="auto"/>
          <w:szCs w:val="21"/>
          <w:u w:val="single"/>
        </w:rPr>
      </w:pPr>
      <w:r>
        <w:rPr>
          <w:rFonts w:hint="eastAsia" w:ascii="宋体" w:hAnsi="宋体" w:cs="宋体"/>
          <w:color w:val="auto"/>
          <w:szCs w:val="21"/>
        </w:rPr>
        <w:t xml:space="preserve">    招 标 人：见投标人须知前附表。</w:t>
      </w:r>
    </w:p>
    <w:p w14:paraId="5A56A655">
      <w:pPr>
        <w:snapToGrid w:val="0"/>
        <w:spacing w:line="500" w:lineRule="exact"/>
        <w:ind w:firstLine="420" w:firstLineChars="200"/>
        <w:rPr>
          <w:rFonts w:ascii="宋体" w:hAnsi="宋体" w:cs="宋体"/>
          <w:color w:val="auto"/>
          <w:szCs w:val="21"/>
          <w:u w:val="single"/>
        </w:rPr>
      </w:pPr>
      <w:r>
        <w:rPr>
          <w:rFonts w:hint="eastAsia" w:ascii="宋体" w:hAnsi="宋体" w:cs="宋体"/>
          <w:color w:val="auto"/>
          <w:szCs w:val="21"/>
        </w:rPr>
        <w:t xml:space="preserve">    服务期：见投标人须知前附表。</w:t>
      </w:r>
    </w:p>
    <w:p w14:paraId="40B7F4A5">
      <w:pPr>
        <w:snapToGrid w:val="0"/>
        <w:spacing w:line="500" w:lineRule="exact"/>
        <w:ind w:firstLine="420" w:firstLineChars="200"/>
        <w:rPr>
          <w:rFonts w:ascii="宋体" w:hAnsi="宋体" w:cs="宋体"/>
          <w:color w:val="auto"/>
          <w:szCs w:val="21"/>
          <w:u w:val="single"/>
        </w:rPr>
      </w:pPr>
      <w:r>
        <w:rPr>
          <w:rFonts w:hint="eastAsia" w:ascii="宋体" w:hAnsi="宋体" w:cs="宋体"/>
          <w:color w:val="auto"/>
          <w:szCs w:val="21"/>
        </w:rPr>
        <w:t xml:space="preserve">    服务地点：见投标人须知前附表。</w:t>
      </w:r>
    </w:p>
    <w:p w14:paraId="45923DFC">
      <w:pPr>
        <w:snapToGrid w:val="0"/>
        <w:spacing w:line="500" w:lineRule="exact"/>
        <w:ind w:firstLine="420" w:firstLineChars="200"/>
        <w:rPr>
          <w:rFonts w:ascii="宋体" w:hAnsi="宋体" w:cs="宋体"/>
          <w:color w:val="auto"/>
          <w:szCs w:val="21"/>
          <w:u w:val="single"/>
        </w:rPr>
      </w:pPr>
      <w:r>
        <w:rPr>
          <w:rFonts w:hint="eastAsia" w:ascii="宋体" w:hAnsi="宋体" w:cs="宋体"/>
          <w:color w:val="auto"/>
          <w:szCs w:val="21"/>
        </w:rPr>
        <w:t>1.2招标人及联系人: 见投标人须知前附表。</w:t>
      </w:r>
    </w:p>
    <w:p w14:paraId="485C55DF">
      <w:pPr>
        <w:snapToGrid w:val="0"/>
        <w:spacing w:line="500" w:lineRule="exact"/>
        <w:ind w:firstLine="525" w:firstLineChars="250"/>
        <w:rPr>
          <w:rFonts w:ascii="宋体" w:hAnsi="宋体" w:cs="宋体"/>
          <w:color w:val="auto"/>
          <w:szCs w:val="21"/>
          <w:u w:val="single"/>
        </w:rPr>
      </w:pPr>
      <w:r>
        <w:rPr>
          <w:rFonts w:hint="eastAsia" w:ascii="宋体" w:hAnsi="宋体" w:cs="宋体"/>
          <w:color w:val="auto"/>
          <w:szCs w:val="21"/>
        </w:rPr>
        <w:t xml:space="preserve">  采购代理机构及联系人: 见投标人须知前附表。</w:t>
      </w:r>
    </w:p>
    <w:p w14:paraId="35DDE2D6">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1.3资金来源：见投标人须知前附表。</w:t>
      </w:r>
    </w:p>
    <w:p w14:paraId="28EB2626">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1.4本项目预算：见投标人须知前附表。</w:t>
      </w:r>
    </w:p>
    <w:p w14:paraId="02575EC6">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1.5本项目最高限价：见投标人须知前附表。</w:t>
      </w:r>
    </w:p>
    <w:p w14:paraId="60B181E8">
      <w:pPr>
        <w:snapToGrid w:val="0"/>
        <w:spacing w:line="500" w:lineRule="exact"/>
        <w:ind w:firstLine="422" w:firstLineChars="200"/>
        <w:rPr>
          <w:rFonts w:ascii="宋体" w:hAnsi="宋体" w:cs="宋体"/>
          <w:b/>
          <w:color w:val="auto"/>
          <w:szCs w:val="21"/>
        </w:rPr>
      </w:pPr>
      <w:r>
        <w:rPr>
          <w:rFonts w:hint="eastAsia" w:ascii="宋体" w:hAnsi="宋体" w:cs="宋体"/>
          <w:b/>
          <w:color w:val="auto"/>
          <w:szCs w:val="21"/>
        </w:rPr>
        <w:t>2.招标范围：</w:t>
      </w:r>
    </w:p>
    <w:p w14:paraId="18C046DE">
      <w:pPr>
        <w:snapToGrid w:val="0"/>
        <w:spacing w:line="500" w:lineRule="exact"/>
        <w:ind w:firstLine="420" w:firstLineChars="200"/>
        <w:rPr>
          <w:rFonts w:ascii="宋体" w:hAnsi="宋体" w:cs="宋体"/>
          <w:color w:val="auto"/>
          <w:szCs w:val="21"/>
          <w:u w:val="single"/>
        </w:rPr>
      </w:pPr>
      <w:r>
        <w:rPr>
          <w:rFonts w:hint="eastAsia" w:ascii="宋体" w:hAnsi="宋体" w:cs="宋体"/>
          <w:color w:val="auto"/>
          <w:szCs w:val="21"/>
        </w:rPr>
        <w:t>2.1 采购内容：见投标人须知前附表。</w:t>
      </w:r>
    </w:p>
    <w:p w14:paraId="39FEBFC3">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2.2 技术要求：详见招标文件第四章采购需求。</w:t>
      </w:r>
    </w:p>
    <w:p w14:paraId="5CAEEE87">
      <w:pPr>
        <w:snapToGrid w:val="0"/>
        <w:spacing w:line="500" w:lineRule="exact"/>
        <w:ind w:firstLine="422" w:firstLineChars="200"/>
        <w:rPr>
          <w:rFonts w:ascii="宋体" w:hAnsi="宋体" w:cs="宋体"/>
          <w:b/>
          <w:color w:val="auto"/>
          <w:szCs w:val="21"/>
        </w:rPr>
      </w:pPr>
      <w:r>
        <w:rPr>
          <w:rFonts w:hint="eastAsia" w:ascii="宋体" w:hAnsi="宋体" w:cs="宋体"/>
          <w:b/>
          <w:color w:val="auto"/>
          <w:szCs w:val="21"/>
        </w:rPr>
        <w:t>3.标包划分：</w:t>
      </w:r>
    </w:p>
    <w:p w14:paraId="09616024">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3.1本项目划分：见投标人须知前附表。</w:t>
      </w:r>
    </w:p>
    <w:p w14:paraId="0330D5CA">
      <w:pPr>
        <w:snapToGrid w:val="0"/>
        <w:spacing w:line="500" w:lineRule="exact"/>
        <w:ind w:firstLine="422" w:firstLineChars="200"/>
        <w:rPr>
          <w:rFonts w:ascii="宋体" w:hAnsi="宋体" w:cs="宋体"/>
          <w:b/>
          <w:color w:val="auto"/>
          <w:szCs w:val="21"/>
        </w:rPr>
      </w:pPr>
      <w:r>
        <w:rPr>
          <w:rFonts w:hint="eastAsia" w:ascii="宋体" w:hAnsi="宋体" w:cs="宋体"/>
          <w:b/>
          <w:color w:val="auto"/>
          <w:szCs w:val="21"/>
        </w:rPr>
        <w:t>4.招标方式：</w:t>
      </w:r>
    </w:p>
    <w:p w14:paraId="3DE3642C">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4.1本项目招标方式：见投标人须知前附表。</w:t>
      </w:r>
    </w:p>
    <w:p w14:paraId="0B79A7EB">
      <w:pPr>
        <w:snapToGrid w:val="0"/>
        <w:spacing w:line="500" w:lineRule="exact"/>
        <w:ind w:firstLine="422" w:firstLineChars="200"/>
        <w:rPr>
          <w:rFonts w:ascii="宋体" w:hAnsi="宋体" w:cs="宋体"/>
          <w:b/>
          <w:color w:val="auto"/>
          <w:szCs w:val="21"/>
        </w:rPr>
      </w:pPr>
      <w:r>
        <w:rPr>
          <w:rFonts w:hint="eastAsia" w:ascii="宋体" w:hAnsi="宋体" w:cs="宋体"/>
          <w:b/>
          <w:color w:val="auto"/>
          <w:szCs w:val="21"/>
        </w:rPr>
        <w:t>5.计价方式：</w:t>
      </w:r>
    </w:p>
    <w:p w14:paraId="02E2CAA1">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5.1本次招标项目合同采用</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单价</w:t>
      </w:r>
      <w:r>
        <w:rPr>
          <w:rFonts w:hint="eastAsia" w:ascii="宋体" w:hAnsi="宋体" w:cs="宋体"/>
          <w:color w:val="auto"/>
          <w:szCs w:val="21"/>
          <w:u w:val="single"/>
        </w:rPr>
        <w:t xml:space="preserve">合同 </w:t>
      </w:r>
      <w:r>
        <w:rPr>
          <w:rFonts w:hint="eastAsia" w:ascii="宋体" w:hAnsi="宋体" w:cs="宋体"/>
          <w:color w:val="auto"/>
          <w:szCs w:val="21"/>
        </w:rPr>
        <w:t>。</w:t>
      </w:r>
    </w:p>
    <w:p w14:paraId="08B6D253">
      <w:pPr>
        <w:snapToGrid w:val="0"/>
        <w:spacing w:line="500" w:lineRule="exact"/>
        <w:ind w:firstLine="422" w:firstLineChars="200"/>
        <w:rPr>
          <w:rFonts w:ascii="宋体" w:hAnsi="宋体" w:cs="宋体"/>
          <w:b/>
          <w:color w:val="auto"/>
          <w:szCs w:val="21"/>
        </w:rPr>
      </w:pPr>
      <w:r>
        <w:rPr>
          <w:rFonts w:hint="eastAsia" w:ascii="宋体" w:hAnsi="宋体" w:cs="宋体"/>
          <w:b/>
          <w:color w:val="auto"/>
          <w:szCs w:val="21"/>
        </w:rPr>
        <w:t>6.评标办法：</w:t>
      </w:r>
    </w:p>
    <w:p w14:paraId="2657D199">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6.1本次招标评标采用</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合理低价法</w:t>
      </w:r>
      <w:r>
        <w:rPr>
          <w:rFonts w:hint="eastAsia" w:ascii="宋体" w:hAnsi="宋体" w:cs="宋体"/>
          <w:color w:val="auto"/>
          <w:szCs w:val="21"/>
          <w:u w:val="single"/>
        </w:rPr>
        <w:t xml:space="preserve"> </w:t>
      </w:r>
      <w:r>
        <w:rPr>
          <w:rFonts w:hint="eastAsia" w:ascii="宋体" w:hAnsi="宋体" w:cs="宋体"/>
          <w:color w:val="auto"/>
          <w:szCs w:val="21"/>
        </w:rPr>
        <w:t>（详见第三章评标办法）</w:t>
      </w:r>
    </w:p>
    <w:p w14:paraId="30C0A9E2">
      <w:pPr>
        <w:snapToGrid w:val="0"/>
        <w:spacing w:line="500" w:lineRule="exact"/>
        <w:ind w:firstLine="422" w:firstLineChars="200"/>
        <w:rPr>
          <w:rFonts w:ascii="宋体" w:hAnsi="宋体" w:cs="宋体"/>
          <w:b/>
          <w:color w:val="auto"/>
          <w:szCs w:val="21"/>
        </w:rPr>
      </w:pPr>
      <w:r>
        <w:rPr>
          <w:rFonts w:hint="eastAsia" w:ascii="宋体" w:hAnsi="宋体" w:cs="宋体"/>
          <w:b/>
          <w:color w:val="auto"/>
          <w:szCs w:val="21"/>
        </w:rPr>
        <w:t>7.投标人资格：</w:t>
      </w:r>
    </w:p>
    <w:p w14:paraId="7768583A">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7.1本项目投标人资格：见投标人须知前附表。</w:t>
      </w:r>
    </w:p>
    <w:p w14:paraId="2C6408C4">
      <w:pPr>
        <w:spacing w:line="500" w:lineRule="exact"/>
        <w:ind w:firstLine="422" w:firstLineChars="200"/>
        <w:rPr>
          <w:rFonts w:ascii="宋体" w:hAnsi="宋体" w:cs="宋体"/>
          <w:b/>
          <w:color w:val="auto"/>
          <w:szCs w:val="21"/>
        </w:rPr>
      </w:pPr>
      <w:r>
        <w:rPr>
          <w:rFonts w:hint="eastAsia" w:ascii="宋体" w:hAnsi="宋体" w:cs="宋体"/>
          <w:b/>
          <w:color w:val="auto"/>
          <w:szCs w:val="21"/>
        </w:rPr>
        <w:t>8. 投标费用</w:t>
      </w:r>
    </w:p>
    <w:p w14:paraId="22A1C685">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8.1投标人准备和参加投标活动发生的费用自理。</w:t>
      </w:r>
    </w:p>
    <w:p w14:paraId="1F585B69">
      <w:pPr>
        <w:spacing w:line="500" w:lineRule="exact"/>
        <w:ind w:firstLine="422" w:firstLineChars="200"/>
        <w:rPr>
          <w:rFonts w:ascii="宋体" w:hAnsi="宋体" w:cs="宋体"/>
          <w:b/>
          <w:color w:val="auto"/>
          <w:szCs w:val="21"/>
        </w:rPr>
      </w:pPr>
      <w:r>
        <w:rPr>
          <w:rFonts w:hint="eastAsia" w:ascii="宋体" w:hAnsi="宋体" w:cs="宋体"/>
          <w:b/>
          <w:color w:val="auto"/>
          <w:szCs w:val="21"/>
        </w:rPr>
        <w:t>9.</w:t>
      </w:r>
      <w:bookmarkStart w:id="27" w:name="_Toc247513962"/>
      <w:bookmarkStart w:id="28" w:name="_Toc247527563"/>
      <w:bookmarkStart w:id="29" w:name="_Toc152042315"/>
      <w:bookmarkStart w:id="30" w:name="_Toc152045539"/>
      <w:bookmarkStart w:id="31" w:name="_Toc144974507"/>
      <w:bookmarkStart w:id="32" w:name="_Toc247592876"/>
      <w:bookmarkStart w:id="33" w:name="_Toc296602429"/>
      <w:r>
        <w:rPr>
          <w:rFonts w:hint="eastAsia" w:ascii="宋体" w:hAnsi="宋体" w:cs="宋体"/>
          <w:b/>
          <w:color w:val="auto"/>
          <w:szCs w:val="21"/>
        </w:rPr>
        <w:t xml:space="preserve"> 踏勘现场</w:t>
      </w:r>
      <w:bookmarkEnd w:id="27"/>
      <w:bookmarkEnd w:id="28"/>
      <w:bookmarkEnd w:id="29"/>
      <w:bookmarkEnd w:id="30"/>
      <w:bookmarkEnd w:id="31"/>
      <w:bookmarkEnd w:id="32"/>
      <w:bookmarkEnd w:id="33"/>
    </w:p>
    <w:p w14:paraId="6292D57A">
      <w:pPr>
        <w:spacing w:line="500" w:lineRule="exact"/>
        <w:ind w:firstLine="409" w:firstLineChars="195"/>
        <w:rPr>
          <w:rFonts w:ascii="宋体" w:hAnsi="宋体" w:cs="宋体"/>
          <w:color w:val="auto"/>
          <w:szCs w:val="21"/>
        </w:rPr>
      </w:pPr>
      <w:r>
        <w:rPr>
          <w:rFonts w:hint="eastAsia" w:ascii="宋体" w:hAnsi="宋体" w:cs="宋体"/>
          <w:color w:val="auto"/>
          <w:szCs w:val="21"/>
        </w:rPr>
        <w:t xml:space="preserve"> 9.1 投标人须知前附表规定组织踏勘现场的，招标人按投标人须知前附表规定的时间、地点组织投标人踏勘项目现场。 </w:t>
      </w:r>
    </w:p>
    <w:p w14:paraId="40A25EED">
      <w:pPr>
        <w:spacing w:line="500" w:lineRule="exact"/>
        <w:ind w:firstLine="409" w:firstLineChars="195"/>
        <w:rPr>
          <w:rFonts w:ascii="宋体" w:hAnsi="宋体" w:cs="宋体"/>
          <w:color w:val="auto"/>
          <w:szCs w:val="21"/>
        </w:rPr>
      </w:pPr>
      <w:r>
        <w:rPr>
          <w:rFonts w:hint="eastAsia" w:ascii="宋体" w:hAnsi="宋体" w:cs="宋体"/>
          <w:color w:val="auto"/>
          <w:szCs w:val="21"/>
        </w:rPr>
        <w:t>9.2 投标人踏勘现场发生的费用自理。</w:t>
      </w:r>
    </w:p>
    <w:p w14:paraId="2E6F200F">
      <w:pPr>
        <w:spacing w:line="500" w:lineRule="exact"/>
        <w:ind w:firstLine="409" w:firstLineChars="195"/>
        <w:rPr>
          <w:rFonts w:ascii="宋体" w:hAnsi="宋体" w:cs="宋体"/>
          <w:color w:val="auto"/>
          <w:szCs w:val="21"/>
        </w:rPr>
      </w:pPr>
      <w:r>
        <w:rPr>
          <w:rFonts w:hint="eastAsia" w:ascii="宋体" w:hAnsi="宋体" w:cs="宋体"/>
          <w:color w:val="auto"/>
          <w:szCs w:val="21"/>
        </w:rPr>
        <w:t>9.3 除招标人的原因外，投标人自行负责在踏勘现场中所发生的人员伤亡和财产损失。</w:t>
      </w:r>
    </w:p>
    <w:p w14:paraId="3C8DC6BA">
      <w:pPr>
        <w:spacing w:line="500" w:lineRule="exact"/>
        <w:ind w:firstLine="409" w:firstLineChars="195"/>
        <w:rPr>
          <w:rFonts w:ascii="宋体" w:hAnsi="宋体" w:cs="宋体"/>
          <w:color w:val="auto"/>
          <w:szCs w:val="21"/>
        </w:rPr>
      </w:pPr>
      <w:r>
        <w:rPr>
          <w:rFonts w:hint="eastAsia" w:ascii="宋体" w:hAnsi="宋体" w:cs="宋体"/>
          <w:color w:val="auto"/>
          <w:szCs w:val="21"/>
        </w:rPr>
        <w:t>9.4 招标人在踏勘现场中介绍的场地和相关的周边环境情况，供投标人在编制投标文件时参考，招标人不对投标人据此作出的判断和决策负责。</w:t>
      </w:r>
      <w:bookmarkStart w:id="34" w:name="_Toc247592877"/>
      <w:bookmarkStart w:id="35" w:name="_Toc247513963"/>
      <w:bookmarkStart w:id="36" w:name="_Toc152045540"/>
      <w:bookmarkStart w:id="37" w:name="_Toc144974508"/>
      <w:bookmarkStart w:id="38" w:name="_Toc296602430"/>
      <w:bookmarkStart w:id="39" w:name="_Toc247527564"/>
      <w:bookmarkStart w:id="40" w:name="_Toc152042316"/>
    </w:p>
    <w:p w14:paraId="095043B3">
      <w:pPr>
        <w:spacing w:line="500" w:lineRule="exact"/>
        <w:ind w:firstLine="422" w:firstLineChars="200"/>
        <w:rPr>
          <w:rFonts w:ascii="宋体" w:hAnsi="宋体" w:cs="宋体"/>
          <w:b/>
          <w:color w:val="auto"/>
          <w:szCs w:val="21"/>
        </w:rPr>
      </w:pPr>
      <w:r>
        <w:rPr>
          <w:rFonts w:hint="eastAsia" w:ascii="宋体" w:hAnsi="宋体" w:cs="宋体"/>
          <w:b/>
          <w:color w:val="auto"/>
          <w:szCs w:val="21"/>
        </w:rPr>
        <w:t>10. 投标预备会</w:t>
      </w:r>
      <w:bookmarkEnd w:id="34"/>
      <w:bookmarkEnd w:id="35"/>
      <w:bookmarkEnd w:id="36"/>
      <w:bookmarkEnd w:id="37"/>
      <w:bookmarkEnd w:id="38"/>
      <w:bookmarkEnd w:id="39"/>
      <w:bookmarkEnd w:id="40"/>
      <w:r>
        <w:rPr>
          <w:rFonts w:hint="eastAsia" w:ascii="宋体" w:hAnsi="宋体" w:cs="宋体"/>
          <w:b/>
          <w:color w:val="auto"/>
          <w:szCs w:val="21"/>
        </w:rPr>
        <w:t>（本项目不采用）</w:t>
      </w:r>
    </w:p>
    <w:p w14:paraId="1CFF504F">
      <w:pPr>
        <w:spacing w:line="500" w:lineRule="exact"/>
        <w:ind w:firstLine="409" w:firstLineChars="195"/>
        <w:rPr>
          <w:rFonts w:ascii="宋体" w:hAnsi="宋体" w:cs="宋体"/>
          <w:color w:val="auto"/>
          <w:szCs w:val="21"/>
        </w:rPr>
      </w:pPr>
      <w:r>
        <w:rPr>
          <w:rFonts w:hint="eastAsia" w:ascii="宋体" w:hAnsi="宋体" w:cs="宋体"/>
          <w:color w:val="auto"/>
          <w:szCs w:val="21"/>
        </w:rPr>
        <w:t>10.1投标人须知前附表规定召开投标预备会的，招标人按投标人须知前附表规定的时间和地点召开投标预备会，澄清投标人提出的问题。</w:t>
      </w:r>
    </w:p>
    <w:p w14:paraId="4D94E919">
      <w:pPr>
        <w:numPr>
          <w:ilvl w:val="0"/>
          <w:numId w:val="8"/>
        </w:numPr>
        <w:spacing w:line="500" w:lineRule="exact"/>
        <w:ind w:firstLine="422" w:firstLineChars="200"/>
        <w:rPr>
          <w:rFonts w:ascii="宋体" w:hAnsi="宋体" w:cs="宋体"/>
          <w:b/>
          <w:color w:val="auto"/>
          <w:szCs w:val="21"/>
        </w:rPr>
      </w:pPr>
      <w:r>
        <w:rPr>
          <w:rFonts w:hint="eastAsia" w:ascii="宋体" w:hAnsi="宋体" w:cs="宋体"/>
          <w:b/>
          <w:color w:val="auto"/>
          <w:szCs w:val="21"/>
        </w:rPr>
        <w:t>联合投标、合同分包（本项目不采用）</w:t>
      </w:r>
    </w:p>
    <w:p w14:paraId="47527F15">
      <w:pPr>
        <w:spacing w:line="500" w:lineRule="exact"/>
        <w:ind w:firstLine="420" w:firstLineChars="200"/>
        <w:rPr>
          <w:rFonts w:ascii="宋体" w:hAnsi="宋体" w:cs="宋体"/>
          <w:color w:val="auto"/>
          <w:szCs w:val="21"/>
        </w:rPr>
      </w:pPr>
      <w:r>
        <w:rPr>
          <w:rFonts w:hint="eastAsia" w:ascii="宋体" w:hAnsi="宋体" w:cs="宋体"/>
          <w:color w:val="auto"/>
          <w:szCs w:val="21"/>
        </w:rPr>
        <w:t>11.1 两个以上投标人可以组成一个投标联合体，以一个投标人的身份投标。以联合体形式参加投标的，联合体各方均应当符合《</w:t>
      </w:r>
      <w:r>
        <w:rPr>
          <w:rFonts w:hint="eastAsia" w:ascii="宋体" w:hAnsi="宋体" w:cs="宋体"/>
          <w:color w:val="auto"/>
        </w:rPr>
        <w:t>中华人民共和国</w:t>
      </w:r>
      <w:r>
        <w:rPr>
          <w:rFonts w:hint="eastAsia" w:ascii="宋体" w:hAnsi="宋体" w:cs="宋体"/>
          <w:color w:val="auto"/>
          <w:lang w:val="en-US" w:eastAsia="zh-CN"/>
        </w:rPr>
        <w:t>招标投标</w:t>
      </w:r>
      <w:r>
        <w:rPr>
          <w:rFonts w:hint="eastAsia" w:ascii="宋体" w:hAnsi="宋体" w:cs="宋体"/>
          <w:color w:val="auto"/>
        </w:rPr>
        <w:t>法</w:t>
      </w:r>
      <w:r>
        <w:rPr>
          <w:rFonts w:hint="eastAsia" w:ascii="宋体" w:hAnsi="宋体" w:cs="宋体"/>
          <w:color w:val="auto"/>
          <w:szCs w:val="21"/>
        </w:rPr>
        <w:t>》规定的条件。</w:t>
      </w:r>
    </w:p>
    <w:p w14:paraId="417C0F55">
      <w:pPr>
        <w:spacing w:line="500" w:lineRule="exact"/>
        <w:ind w:firstLine="409" w:firstLineChars="195"/>
        <w:rPr>
          <w:rFonts w:ascii="宋体" w:hAnsi="宋体" w:cs="宋体"/>
          <w:color w:val="auto"/>
          <w:szCs w:val="21"/>
        </w:rPr>
      </w:pPr>
      <w:r>
        <w:rPr>
          <w:rFonts w:hint="eastAsia" w:ascii="宋体" w:hAnsi="宋体" w:cs="宋体"/>
          <w:color w:val="auto"/>
          <w:szCs w:val="21"/>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3A466176">
      <w:pPr>
        <w:spacing w:line="500" w:lineRule="exact"/>
        <w:ind w:firstLine="411" w:firstLineChars="196"/>
        <w:rPr>
          <w:rFonts w:ascii="宋体" w:hAnsi="宋体" w:cs="宋体"/>
          <w:color w:val="auto"/>
          <w:szCs w:val="21"/>
        </w:rPr>
      </w:pPr>
      <w:r>
        <w:rPr>
          <w:rFonts w:hint="eastAsia" w:ascii="宋体" w:hAnsi="宋体" w:cs="宋体"/>
          <w:color w:val="auto"/>
          <w:szCs w:val="21"/>
        </w:rPr>
        <w:t>11.3 联合体应当确定其中一个单位为投标的全权代表，负责参加投标的一切事务，并承担投标及履约中应承担的全部责任与义务。</w:t>
      </w:r>
    </w:p>
    <w:p w14:paraId="27BC6C0D">
      <w:pPr>
        <w:spacing w:line="500" w:lineRule="exact"/>
        <w:ind w:firstLine="435"/>
        <w:rPr>
          <w:rFonts w:ascii="宋体" w:hAnsi="宋体" w:cs="宋体"/>
          <w:color w:val="auto"/>
          <w:szCs w:val="21"/>
        </w:rPr>
      </w:pPr>
      <w:r>
        <w:rPr>
          <w:rFonts w:hint="eastAsia" w:ascii="宋体" w:hAnsi="宋体" w:cs="宋体"/>
          <w:color w:val="auto"/>
          <w:szCs w:val="21"/>
        </w:rPr>
        <w:t>11.4 联合体各方应当共同与招标人签订采购合同，就采购合同约定的事项对招标人承担连带责任。</w:t>
      </w:r>
    </w:p>
    <w:p w14:paraId="1B156C5F">
      <w:pPr>
        <w:spacing w:line="500" w:lineRule="exact"/>
        <w:ind w:firstLine="409" w:firstLineChars="195"/>
        <w:rPr>
          <w:rFonts w:ascii="宋体" w:hAnsi="宋体" w:cs="宋体"/>
          <w:color w:val="auto"/>
          <w:szCs w:val="21"/>
        </w:rPr>
      </w:pPr>
      <w:r>
        <w:rPr>
          <w:rFonts w:hint="eastAsia" w:ascii="宋体" w:hAnsi="宋体" w:cs="宋体"/>
          <w:color w:val="auto"/>
          <w:szCs w:val="21"/>
        </w:rPr>
        <w:t>11.5 联合体中有同类资质的投标人按照联合体分工承担相同工作的，应当按照资质等级较低的投标人确定资质等级。</w:t>
      </w:r>
    </w:p>
    <w:p w14:paraId="17407B56">
      <w:pPr>
        <w:pStyle w:val="2"/>
        <w:spacing w:after="0" w:line="500" w:lineRule="exact"/>
        <w:ind w:left="0" w:leftChars="0"/>
        <w:rPr>
          <w:rFonts w:ascii="宋体" w:hAnsi="宋体" w:cs="宋体"/>
          <w:b/>
          <w:color w:val="auto"/>
          <w:szCs w:val="21"/>
        </w:rPr>
      </w:pPr>
      <w:r>
        <w:rPr>
          <w:rFonts w:hint="eastAsia" w:ascii="宋体" w:hAnsi="宋体" w:cs="宋体"/>
          <w:color w:val="auto"/>
          <w:szCs w:val="21"/>
        </w:rPr>
        <w:t>11.6 非专门面向中小企业采购项目是否允许大中型企业向一家或者多家小微企业分包见投标人须知前附表。</w:t>
      </w:r>
    </w:p>
    <w:p w14:paraId="179F2911">
      <w:pPr>
        <w:spacing w:line="500" w:lineRule="exact"/>
        <w:ind w:firstLine="413" w:firstLineChars="196"/>
        <w:jc w:val="left"/>
        <w:rPr>
          <w:rFonts w:ascii="宋体" w:hAnsi="宋体" w:cs="宋体"/>
          <w:b/>
          <w:color w:val="auto"/>
          <w:szCs w:val="21"/>
        </w:rPr>
      </w:pPr>
      <w:r>
        <w:rPr>
          <w:rFonts w:hint="eastAsia" w:ascii="宋体" w:hAnsi="宋体" w:cs="宋体"/>
          <w:b/>
          <w:color w:val="auto"/>
          <w:szCs w:val="21"/>
        </w:rPr>
        <w:t>12.招标代理费和其他费用</w:t>
      </w:r>
    </w:p>
    <w:p w14:paraId="7E4B18A1">
      <w:pPr>
        <w:spacing w:line="500" w:lineRule="exact"/>
        <w:ind w:firstLine="420" w:firstLineChars="200"/>
        <w:jc w:val="left"/>
        <w:rPr>
          <w:rFonts w:ascii="宋体" w:hAnsi="宋体" w:cs="宋体"/>
          <w:color w:val="auto"/>
          <w:szCs w:val="21"/>
        </w:rPr>
      </w:pPr>
      <w:r>
        <w:rPr>
          <w:rFonts w:hint="eastAsia" w:ascii="宋体" w:hAnsi="宋体" w:cs="宋体"/>
          <w:bCs/>
          <w:color w:val="auto"/>
          <w:szCs w:val="21"/>
        </w:rPr>
        <w:t>12.1</w:t>
      </w:r>
      <w:r>
        <w:rPr>
          <w:rFonts w:hint="eastAsia" w:ascii="宋体" w:hAnsi="宋体" w:cs="宋体"/>
          <w:color w:val="auto"/>
          <w:szCs w:val="21"/>
        </w:rPr>
        <w:t>见投标人须知前附表。</w:t>
      </w:r>
    </w:p>
    <w:p w14:paraId="07F943CB">
      <w:pPr>
        <w:spacing w:line="500" w:lineRule="exact"/>
        <w:ind w:firstLine="422" w:firstLineChars="200"/>
        <w:rPr>
          <w:rFonts w:ascii="宋体" w:hAnsi="宋体" w:cs="宋体"/>
          <w:b/>
          <w:color w:val="auto"/>
          <w:szCs w:val="21"/>
        </w:rPr>
      </w:pPr>
      <w:r>
        <w:rPr>
          <w:rFonts w:hint="eastAsia" w:ascii="宋体" w:hAnsi="宋体" w:cs="宋体"/>
          <w:b/>
          <w:color w:val="auto"/>
          <w:szCs w:val="21"/>
        </w:rPr>
        <w:t>13.投标人应注意的事项</w:t>
      </w:r>
    </w:p>
    <w:p w14:paraId="29A558E5">
      <w:pPr>
        <w:spacing w:line="500" w:lineRule="exact"/>
        <w:ind w:firstLine="420" w:firstLineChars="200"/>
        <w:rPr>
          <w:rFonts w:ascii="宋体" w:hAnsi="宋体" w:cs="宋体"/>
          <w:color w:val="auto"/>
          <w:szCs w:val="21"/>
        </w:rPr>
      </w:pPr>
      <w:r>
        <w:rPr>
          <w:rFonts w:hint="eastAsia" w:ascii="宋体" w:hAnsi="宋体" w:cs="宋体"/>
          <w:color w:val="auto"/>
          <w:szCs w:val="21"/>
        </w:rPr>
        <w:t>13.1投标人一旦参加投标，即被认为接受了本招标文件中的所有条件和规定。投标人必须严格按招标文件的要求编制投标文件，以便评委审核。否则，由此产生的一切后果由投标人承担。</w:t>
      </w:r>
    </w:p>
    <w:p w14:paraId="09C11E2E">
      <w:pPr>
        <w:spacing w:line="500" w:lineRule="exact"/>
        <w:ind w:firstLine="420" w:firstLineChars="200"/>
        <w:rPr>
          <w:rFonts w:ascii="宋体" w:hAnsi="宋体" w:cs="宋体"/>
          <w:color w:val="auto"/>
          <w:szCs w:val="21"/>
        </w:rPr>
      </w:pPr>
      <w:r>
        <w:rPr>
          <w:rFonts w:hint="eastAsia" w:ascii="宋体" w:hAnsi="宋体" w:cs="宋体"/>
          <w:color w:val="auto"/>
          <w:szCs w:val="21"/>
        </w:rPr>
        <w:t>13.2投标人对采购内容中规定的</w:t>
      </w:r>
      <w:r>
        <w:rPr>
          <w:rFonts w:hint="eastAsia" w:ascii="宋体" w:hAnsi="宋体" w:cs="宋体"/>
          <w:color w:val="auto"/>
          <w:szCs w:val="21"/>
          <w:lang w:val="en-US" w:eastAsia="zh-CN"/>
        </w:rPr>
        <w:t>服务要求</w:t>
      </w:r>
      <w:r>
        <w:rPr>
          <w:rFonts w:hint="eastAsia" w:ascii="宋体" w:hAnsi="宋体" w:cs="宋体"/>
          <w:color w:val="auto"/>
          <w:szCs w:val="21"/>
        </w:rPr>
        <w:t>、数量和要求等必须</w:t>
      </w:r>
      <w:r>
        <w:rPr>
          <w:rFonts w:hint="eastAsia" w:ascii="宋体" w:hAnsi="宋体" w:cs="宋体"/>
          <w:color w:val="auto"/>
          <w:szCs w:val="21"/>
          <w:lang w:val="en-US" w:eastAsia="zh-CN"/>
        </w:rPr>
        <w:t>完全响应或优于</w:t>
      </w:r>
      <w:r>
        <w:rPr>
          <w:rFonts w:hint="eastAsia" w:ascii="宋体" w:hAnsi="宋体" w:cs="宋体"/>
          <w:color w:val="auto"/>
          <w:szCs w:val="21"/>
        </w:rPr>
        <w:t>招标文件的相关要求。</w:t>
      </w:r>
    </w:p>
    <w:p w14:paraId="66AC8D5A">
      <w:pPr>
        <w:spacing w:line="500" w:lineRule="exact"/>
        <w:ind w:firstLine="420" w:firstLineChars="200"/>
        <w:rPr>
          <w:rFonts w:ascii="宋体" w:hAnsi="宋体" w:cs="宋体"/>
          <w:color w:val="auto"/>
          <w:szCs w:val="21"/>
        </w:rPr>
      </w:pPr>
      <w:r>
        <w:rPr>
          <w:rFonts w:hint="eastAsia" w:ascii="宋体" w:hAnsi="宋体" w:cs="宋体"/>
          <w:color w:val="auto"/>
          <w:szCs w:val="21"/>
        </w:rPr>
        <w:t>13.3</w:t>
      </w:r>
      <w:r>
        <w:rPr>
          <w:rFonts w:hint="eastAsia" w:ascii="宋体" w:hAnsi="宋体" w:cs="宋体"/>
          <w:bCs/>
          <w:color w:val="auto"/>
          <w:szCs w:val="21"/>
        </w:rPr>
        <w:t>单位负责人为同一人或者存在直接控股、管理关系的不同投标人，不得参加同一合同项下的采购活动。</w:t>
      </w:r>
      <w:r>
        <w:rPr>
          <w:rFonts w:hint="eastAsia" w:ascii="宋体" w:hAnsi="宋体" w:cs="宋体"/>
          <w:color w:val="auto"/>
          <w:szCs w:val="21"/>
        </w:rPr>
        <w:t>为采购项目提供整体设计、规范编制或者项目管理、监理、检测等服务的投标人，不得再参加该采购项目的其他采购活动。</w:t>
      </w:r>
    </w:p>
    <w:p w14:paraId="2210261B">
      <w:pPr>
        <w:spacing w:line="500" w:lineRule="exact"/>
        <w:ind w:firstLine="417" w:firstLineChars="199"/>
        <w:jc w:val="left"/>
        <w:rPr>
          <w:rFonts w:ascii="宋体" w:hAnsi="宋体" w:cs="宋体"/>
          <w:color w:val="auto"/>
          <w:szCs w:val="21"/>
        </w:rPr>
      </w:pPr>
      <w:r>
        <w:rPr>
          <w:rFonts w:hint="eastAsia" w:ascii="宋体" w:hAnsi="宋体" w:cs="宋体"/>
          <w:color w:val="auto"/>
          <w:szCs w:val="21"/>
        </w:rPr>
        <w:t>13.5 投标人被视为充分熟悉本招标项目所在地的与履行合同有关的各种情况，包括但不限于：</w:t>
      </w:r>
    </w:p>
    <w:p w14:paraId="42199CAE">
      <w:pPr>
        <w:spacing w:line="500" w:lineRule="exact"/>
        <w:ind w:firstLine="315" w:firstLineChars="150"/>
        <w:rPr>
          <w:rFonts w:ascii="宋体" w:hAnsi="宋体" w:cs="宋体"/>
          <w:color w:val="auto"/>
          <w:szCs w:val="21"/>
        </w:rPr>
      </w:pPr>
      <w:r>
        <w:rPr>
          <w:rFonts w:hint="eastAsia" w:ascii="宋体" w:hAnsi="宋体" w:cs="宋体"/>
          <w:color w:val="auto"/>
          <w:szCs w:val="21"/>
        </w:rPr>
        <w:t>（1）国家对本次投标货物和服务的生产、安装调试、验收、维修等有关法律、法规及行业管理标准；</w:t>
      </w:r>
    </w:p>
    <w:p w14:paraId="4D937245">
      <w:pPr>
        <w:spacing w:line="500" w:lineRule="exact"/>
        <w:ind w:firstLine="315" w:firstLineChars="150"/>
        <w:rPr>
          <w:rFonts w:ascii="宋体" w:hAnsi="宋体" w:cs="宋体"/>
          <w:color w:val="auto"/>
          <w:szCs w:val="21"/>
        </w:rPr>
      </w:pPr>
      <w:r>
        <w:rPr>
          <w:rFonts w:hint="eastAsia" w:ascii="宋体" w:hAnsi="宋体" w:cs="宋体"/>
          <w:color w:val="auto"/>
          <w:szCs w:val="21"/>
        </w:rPr>
        <w:t>（2）安徽省及滁州市等有关管理部门的相关规定；</w:t>
      </w:r>
    </w:p>
    <w:p w14:paraId="3004E621">
      <w:pPr>
        <w:spacing w:line="500" w:lineRule="exact"/>
        <w:ind w:firstLine="315" w:firstLineChars="150"/>
        <w:rPr>
          <w:rFonts w:ascii="宋体" w:hAnsi="宋体" w:cs="宋体"/>
          <w:color w:val="auto"/>
          <w:szCs w:val="21"/>
        </w:rPr>
      </w:pPr>
      <w:r>
        <w:rPr>
          <w:rFonts w:hint="eastAsia" w:ascii="宋体" w:hAnsi="宋体" w:cs="宋体"/>
          <w:color w:val="auto"/>
          <w:szCs w:val="21"/>
        </w:rPr>
        <w:t>（3）招标人的相关场地情况、基础建设、电力供应情况及相关设计标准。</w:t>
      </w:r>
    </w:p>
    <w:p w14:paraId="14A55628">
      <w:pPr>
        <w:spacing w:line="500" w:lineRule="exact"/>
        <w:ind w:firstLine="315" w:firstLineChars="150"/>
        <w:rPr>
          <w:rFonts w:ascii="宋体" w:hAnsi="宋体" w:cs="宋体"/>
          <w:color w:val="auto"/>
          <w:szCs w:val="21"/>
        </w:rPr>
      </w:pPr>
      <w:r>
        <w:rPr>
          <w:rFonts w:hint="eastAsia" w:ascii="宋体" w:hAnsi="宋体" w:cs="宋体"/>
          <w:color w:val="auto"/>
          <w:szCs w:val="21"/>
        </w:rPr>
        <w:t>本招标文件不再对上述情况进行描述。</w:t>
      </w:r>
    </w:p>
    <w:p w14:paraId="5C1B24B8">
      <w:pPr>
        <w:spacing w:line="500" w:lineRule="exact"/>
        <w:ind w:firstLine="420" w:firstLineChars="200"/>
        <w:rPr>
          <w:rFonts w:ascii="宋体" w:hAnsi="宋体" w:cs="宋体"/>
          <w:color w:val="auto"/>
          <w:szCs w:val="21"/>
        </w:rPr>
      </w:pPr>
      <w:r>
        <w:rPr>
          <w:rFonts w:hint="eastAsia" w:ascii="宋体" w:hAnsi="宋体" w:cs="宋体"/>
          <w:color w:val="auto"/>
          <w:szCs w:val="21"/>
        </w:rPr>
        <w:t>13.6中标候选人无正当理由放弃中标候选人资格的，其将被记不良信息记录。</w:t>
      </w:r>
    </w:p>
    <w:p w14:paraId="61066CC8">
      <w:pPr>
        <w:spacing w:before="93" w:beforeLines="30" w:after="93" w:afterLines="30" w:line="500" w:lineRule="exact"/>
        <w:jc w:val="center"/>
        <w:rPr>
          <w:rFonts w:ascii="宋体" w:hAnsi="宋体" w:cs="宋体"/>
          <w:b/>
          <w:color w:val="auto"/>
          <w:sz w:val="28"/>
          <w:szCs w:val="28"/>
        </w:rPr>
      </w:pPr>
      <w:bookmarkStart w:id="41" w:name="_Toc449028868"/>
      <w:r>
        <w:rPr>
          <w:rFonts w:hint="eastAsia" w:ascii="宋体" w:hAnsi="宋体" w:cs="宋体"/>
          <w:b/>
          <w:color w:val="auto"/>
          <w:sz w:val="28"/>
          <w:szCs w:val="28"/>
        </w:rPr>
        <w:t>（二）</w:t>
      </w:r>
      <w:bookmarkEnd w:id="41"/>
      <w:r>
        <w:rPr>
          <w:rFonts w:hint="eastAsia" w:ascii="宋体" w:hAnsi="宋体" w:cs="宋体"/>
          <w:b/>
          <w:color w:val="auto"/>
          <w:sz w:val="28"/>
          <w:szCs w:val="28"/>
        </w:rPr>
        <w:t>招标文件</w:t>
      </w:r>
    </w:p>
    <w:p w14:paraId="46A44023">
      <w:pPr>
        <w:spacing w:line="500" w:lineRule="exact"/>
        <w:ind w:firstLine="422" w:firstLineChars="200"/>
        <w:rPr>
          <w:rFonts w:ascii="宋体" w:hAnsi="宋体" w:cs="宋体"/>
          <w:b/>
          <w:color w:val="auto"/>
          <w:szCs w:val="21"/>
        </w:rPr>
      </w:pPr>
      <w:r>
        <w:rPr>
          <w:rFonts w:hint="eastAsia" w:ascii="宋体" w:hAnsi="宋体" w:cs="宋体"/>
          <w:b/>
          <w:color w:val="auto"/>
          <w:szCs w:val="21"/>
        </w:rPr>
        <w:t>14. 招标文件的编制依据</w:t>
      </w:r>
    </w:p>
    <w:p w14:paraId="777EEBCE">
      <w:pPr>
        <w:spacing w:line="500" w:lineRule="exact"/>
        <w:ind w:firstLine="420" w:firstLineChars="200"/>
        <w:rPr>
          <w:rFonts w:ascii="宋体" w:hAnsi="宋体" w:cs="宋体"/>
          <w:color w:val="auto"/>
          <w:szCs w:val="21"/>
        </w:rPr>
      </w:pPr>
      <w:r>
        <w:rPr>
          <w:rFonts w:hint="eastAsia" w:ascii="宋体" w:hAnsi="宋体" w:cs="宋体"/>
          <w:color w:val="auto"/>
          <w:szCs w:val="21"/>
        </w:rPr>
        <w:t>根据</w:t>
      </w:r>
      <w:r>
        <w:rPr>
          <w:rFonts w:hint="eastAsia" w:ascii="宋体" w:hAnsi="宋体" w:cs="宋体"/>
          <w:color w:val="auto"/>
          <w:spacing w:val="-2"/>
          <w:szCs w:val="21"/>
        </w:rPr>
        <w:t>相关法律法规和规章及部、省、市级规范性文件的规定，编制本招标文件。</w:t>
      </w:r>
    </w:p>
    <w:p w14:paraId="40878A9D">
      <w:pPr>
        <w:spacing w:line="500" w:lineRule="exact"/>
        <w:ind w:firstLine="422" w:firstLineChars="200"/>
        <w:rPr>
          <w:rFonts w:ascii="宋体" w:hAnsi="宋体" w:cs="宋体"/>
          <w:b/>
          <w:color w:val="auto"/>
          <w:szCs w:val="21"/>
        </w:rPr>
      </w:pPr>
      <w:r>
        <w:rPr>
          <w:rFonts w:hint="eastAsia" w:ascii="宋体" w:hAnsi="宋体" w:cs="宋体"/>
          <w:b/>
          <w:color w:val="auto"/>
          <w:szCs w:val="21"/>
        </w:rPr>
        <w:t>15. 招标文件的组成</w:t>
      </w:r>
    </w:p>
    <w:p w14:paraId="10550170">
      <w:pPr>
        <w:spacing w:line="500" w:lineRule="exact"/>
        <w:ind w:firstLine="420" w:firstLineChars="200"/>
        <w:rPr>
          <w:rFonts w:ascii="宋体" w:hAnsi="宋体" w:cs="宋体"/>
          <w:color w:val="auto"/>
          <w:szCs w:val="21"/>
        </w:rPr>
      </w:pPr>
      <w:r>
        <w:rPr>
          <w:rFonts w:hint="eastAsia" w:ascii="宋体" w:hAnsi="宋体" w:cs="宋体"/>
          <w:color w:val="auto"/>
          <w:szCs w:val="21"/>
        </w:rPr>
        <w:t>15.1 招标文件包括内容：</w:t>
      </w:r>
    </w:p>
    <w:p w14:paraId="6295F93E">
      <w:pPr>
        <w:spacing w:line="500" w:lineRule="exact"/>
        <w:ind w:firstLine="1470" w:firstLineChars="700"/>
        <w:rPr>
          <w:rFonts w:ascii="宋体" w:hAnsi="宋体" w:cs="宋体"/>
          <w:color w:val="auto"/>
          <w:szCs w:val="21"/>
        </w:rPr>
      </w:pPr>
      <w:r>
        <w:rPr>
          <w:rFonts w:hint="eastAsia" w:ascii="宋体" w:hAnsi="宋体" w:cs="宋体"/>
          <w:color w:val="auto"/>
          <w:szCs w:val="21"/>
        </w:rPr>
        <w:t>第一章  招标公告</w:t>
      </w:r>
    </w:p>
    <w:p w14:paraId="79FDCAE1">
      <w:pPr>
        <w:spacing w:line="500" w:lineRule="exact"/>
        <w:ind w:firstLine="1470" w:firstLineChars="700"/>
        <w:rPr>
          <w:rFonts w:ascii="宋体" w:hAnsi="宋体" w:cs="宋体"/>
          <w:color w:val="auto"/>
          <w:szCs w:val="21"/>
        </w:rPr>
      </w:pPr>
      <w:r>
        <w:rPr>
          <w:rFonts w:hint="eastAsia" w:ascii="宋体" w:hAnsi="宋体" w:cs="宋体"/>
          <w:color w:val="auto"/>
          <w:szCs w:val="21"/>
        </w:rPr>
        <w:t>第二章  投标人须知</w:t>
      </w:r>
    </w:p>
    <w:p w14:paraId="7092E14E">
      <w:pPr>
        <w:spacing w:line="500" w:lineRule="exact"/>
        <w:ind w:firstLine="1470" w:firstLineChars="700"/>
        <w:rPr>
          <w:rFonts w:ascii="宋体" w:hAnsi="宋体" w:cs="宋体"/>
          <w:color w:val="auto"/>
          <w:szCs w:val="21"/>
        </w:rPr>
      </w:pPr>
      <w:r>
        <w:rPr>
          <w:rFonts w:hint="eastAsia" w:ascii="宋体" w:hAnsi="宋体" w:cs="宋体"/>
          <w:color w:val="auto"/>
          <w:szCs w:val="21"/>
        </w:rPr>
        <w:t>第三章  评标办法</w:t>
      </w:r>
    </w:p>
    <w:p w14:paraId="5D819F8A">
      <w:pPr>
        <w:spacing w:line="500" w:lineRule="exact"/>
        <w:ind w:firstLine="1470" w:firstLineChars="700"/>
        <w:rPr>
          <w:rFonts w:ascii="宋体" w:hAnsi="宋体" w:cs="宋体"/>
          <w:color w:val="auto"/>
          <w:szCs w:val="21"/>
        </w:rPr>
      </w:pPr>
      <w:r>
        <w:rPr>
          <w:rFonts w:hint="eastAsia" w:ascii="宋体" w:hAnsi="宋体" w:cs="宋体"/>
          <w:color w:val="auto"/>
          <w:szCs w:val="21"/>
        </w:rPr>
        <w:t>第四章  采购需求</w:t>
      </w:r>
    </w:p>
    <w:p w14:paraId="15E89240">
      <w:pPr>
        <w:spacing w:line="500" w:lineRule="exact"/>
        <w:ind w:firstLine="1470" w:firstLineChars="700"/>
        <w:rPr>
          <w:rFonts w:ascii="宋体" w:hAnsi="宋体" w:cs="宋体"/>
          <w:color w:val="auto"/>
          <w:szCs w:val="21"/>
        </w:rPr>
      </w:pPr>
      <w:r>
        <w:rPr>
          <w:rFonts w:hint="eastAsia" w:ascii="宋体" w:hAnsi="宋体" w:cs="宋体"/>
          <w:color w:val="auto"/>
          <w:szCs w:val="21"/>
        </w:rPr>
        <w:t>第五章  合同条款及格式</w:t>
      </w:r>
    </w:p>
    <w:p w14:paraId="5A2E8E89">
      <w:pPr>
        <w:spacing w:line="500" w:lineRule="exact"/>
        <w:ind w:firstLine="1470" w:firstLineChars="700"/>
        <w:rPr>
          <w:rFonts w:ascii="宋体" w:hAnsi="宋体" w:cs="宋体"/>
          <w:color w:val="auto"/>
          <w:szCs w:val="21"/>
        </w:rPr>
      </w:pPr>
      <w:r>
        <w:rPr>
          <w:rFonts w:hint="eastAsia" w:ascii="宋体" w:hAnsi="宋体" w:cs="宋体"/>
          <w:color w:val="auto"/>
          <w:szCs w:val="21"/>
        </w:rPr>
        <w:t>第六章  投标文件格式</w:t>
      </w:r>
    </w:p>
    <w:p w14:paraId="12C92DCA">
      <w:pPr>
        <w:spacing w:line="500" w:lineRule="exact"/>
        <w:rPr>
          <w:rFonts w:ascii="宋体" w:hAnsi="宋体" w:cs="宋体"/>
          <w:color w:val="auto"/>
          <w:szCs w:val="21"/>
        </w:rPr>
      </w:pPr>
      <w:r>
        <w:rPr>
          <w:rFonts w:hint="eastAsia" w:ascii="宋体" w:hAnsi="宋体" w:cs="宋体"/>
          <w:color w:val="auto"/>
          <w:szCs w:val="21"/>
        </w:rPr>
        <w:t xml:space="preserve">   15.2 除15.1款内容外，招标答疑亦为招标文件的组成部分，对招标人和投标人起约束作用。</w:t>
      </w:r>
    </w:p>
    <w:p w14:paraId="1F97DF2E">
      <w:pPr>
        <w:spacing w:line="500" w:lineRule="exact"/>
        <w:rPr>
          <w:rFonts w:ascii="宋体" w:hAnsi="宋体" w:cs="宋体"/>
          <w:color w:val="auto"/>
          <w:szCs w:val="21"/>
        </w:rPr>
      </w:pPr>
      <w:r>
        <w:rPr>
          <w:rFonts w:hint="eastAsia" w:ascii="宋体" w:hAnsi="宋体" w:cs="宋体"/>
          <w:color w:val="auto"/>
          <w:szCs w:val="21"/>
        </w:rPr>
        <w:t xml:space="preserve">   15.3投标人应仔细阅读和检查招标文件的全部内容。如发现缺页或附件不全，应及时向招标人提出，以便补齐。</w:t>
      </w:r>
    </w:p>
    <w:p w14:paraId="7F0264F9">
      <w:pPr>
        <w:spacing w:line="500" w:lineRule="exact"/>
        <w:rPr>
          <w:rFonts w:ascii="宋体" w:hAnsi="宋体" w:cs="宋体"/>
          <w:color w:val="auto"/>
          <w:szCs w:val="21"/>
        </w:rPr>
      </w:pPr>
      <w:r>
        <w:rPr>
          <w:rFonts w:hint="eastAsia" w:ascii="宋体" w:hAnsi="宋体" w:cs="宋体"/>
          <w:color w:val="auto"/>
          <w:szCs w:val="21"/>
        </w:rPr>
        <w:t xml:space="preserve">   15.4 投标人可以通过电子邮箱对招标文件提出澄清（质疑）。招标文件的澄清将以澄清公告形式在滁州市兴滁矿业投资集团有限公司网站（http://www.xckytz.com/index.html）、滁州市城投工程咨询管理有限公司网站（https://www.czctgczx.com/）予以公告，但不指明澄清问题的来源。如果澄清内容影响投标文件编制的，将相应延长投标截止时间。</w:t>
      </w:r>
    </w:p>
    <w:p w14:paraId="1642BB00">
      <w:pPr>
        <w:spacing w:line="500" w:lineRule="exact"/>
        <w:ind w:firstLine="422" w:firstLineChars="200"/>
        <w:rPr>
          <w:rFonts w:ascii="宋体" w:hAnsi="宋体" w:cs="宋体"/>
          <w:b/>
          <w:bCs/>
          <w:color w:val="auto"/>
          <w:szCs w:val="21"/>
        </w:rPr>
      </w:pPr>
      <w:r>
        <w:rPr>
          <w:rFonts w:hint="eastAsia" w:ascii="宋体" w:hAnsi="宋体" w:cs="宋体"/>
          <w:b/>
          <w:bCs/>
          <w:color w:val="auto"/>
          <w:szCs w:val="21"/>
        </w:rPr>
        <w:t>16. 招标文件的修改、补充</w:t>
      </w:r>
    </w:p>
    <w:p w14:paraId="147FC379">
      <w:pPr>
        <w:spacing w:line="500" w:lineRule="exact"/>
        <w:ind w:firstLine="420" w:firstLineChars="200"/>
        <w:rPr>
          <w:rFonts w:ascii="宋体" w:hAnsi="宋体" w:cs="宋体"/>
          <w:color w:val="auto"/>
          <w:szCs w:val="21"/>
        </w:rPr>
      </w:pPr>
      <w:r>
        <w:rPr>
          <w:rFonts w:hint="eastAsia" w:ascii="宋体" w:hAnsi="宋体" w:cs="宋体"/>
          <w:color w:val="auto"/>
          <w:szCs w:val="21"/>
        </w:rPr>
        <w:t>16.1招标文件发出后，招标人在规定的投标截止时间前可对招标文件进行必要的修改和补充，并以澄清公告形式在滁州市兴滁矿业投资集团有限公司网站（http://www.xckytz.com/index.html）、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084A3441">
      <w:pPr>
        <w:spacing w:line="500" w:lineRule="exact"/>
        <w:ind w:firstLine="422" w:firstLineChars="200"/>
        <w:rPr>
          <w:rFonts w:ascii="宋体" w:hAnsi="宋体" w:cs="宋体"/>
          <w:b/>
          <w:bCs/>
          <w:color w:val="auto"/>
          <w:szCs w:val="21"/>
        </w:rPr>
      </w:pPr>
      <w:r>
        <w:rPr>
          <w:rFonts w:hint="eastAsia" w:ascii="宋体" w:hAnsi="宋体" w:cs="宋体"/>
          <w:b/>
          <w:bCs/>
          <w:color w:val="auto"/>
          <w:szCs w:val="21"/>
        </w:rPr>
        <w:t>17.招标文件的解释</w:t>
      </w:r>
    </w:p>
    <w:p w14:paraId="31A55C49">
      <w:pPr>
        <w:spacing w:line="500" w:lineRule="exact"/>
        <w:ind w:firstLine="420" w:firstLineChars="200"/>
        <w:rPr>
          <w:rFonts w:ascii="宋体" w:hAnsi="宋体" w:cs="宋体"/>
          <w:color w:val="auto"/>
          <w:szCs w:val="21"/>
        </w:rPr>
      </w:pPr>
      <w:r>
        <w:rPr>
          <w:rFonts w:hint="eastAsia" w:ascii="宋体" w:hAnsi="宋体" w:cs="宋体"/>
          <w:color w:val="auto"/>
          <w:szCs w:val="21"/>
        </w:rPr>
        <w:t>（1）构成本招标文件的各个组成文件应互为解释，互为说明；</w:t>
      </w:r>
    </w:p>
    <w:p w14:paraId="5CC6CDCE">
      <w:pPr>
        <w:spacing w:line="500" w:lineRule="exact"/>
        <w:ind w:firstLine="420" w:firstLineChars="200"/>
        <w:rPr>
          <w:rFonts w:ascii="宋体" w:hAnsi="宋体" w:cs="宋体"/>
          <w:color w:val="auto"/>
          <w:szCs w:val="21"/>
        </w:rPr>
      </w:pPr>
      <w:r>
        <w:rPr>
          <w:rFonts w:hint="eastAsia" w:ascii="宋体" w:hAnsi="宋体" w:cs="宋体"/>
          <w:color w:val="auto"/>
          <w:szCs w:val="21"/>
        </w:rPr>
        <w:t>（2）同一组成文件中就同一事项的规定或约定不一致的，以编排顺序在后者为准；</w:t>
      </w:r>
    </w:p>
    <w:p w14:paraId="39EDD973">
      <w:pPr>
        <w:spacing w:line="500" w:lineRule="exact"/>
        <w:ind w:firstLine="420" w:firstLineChars="200"/>
        <w:rPr>
          <w:rFonts w:ascii="宋体" w:hAnsi="宋体" w:cs="宋体"/>
          <w:color w:val="auto"/>
          <w:szCs w:val="21"/>
        </w:rPr>
      </w:pPr>
      <w:r>
        <w:rPr>
          <w:rFonts w:hint="eastAsia" w:ascii="宋体" w:hAnsi="宋体" w:cs="宋体"/>
          <w:color w:val="auto"/>
          <w:szCs w:val="21"/>
        </w:rPr>
        <w:t>（3）如有不明确或不一致，构成合同文件组成内容的，以合同文件约定内容为准，且以专用合同条款约定的合同文件优先顺序解释；</w:t>
      </w:r>
    </w:p>
    <w:p w14:paraId="135B59B0">
      <w:pPr>
        <w:spacing w:line="500" w:lineRule="exact"/>
        <w:ind w:firstLine="420" w:firstLineChars="200"/>
        <w:rPr>
          <w:rFonts w:ascii="宋体" w:hAnsi="宋体" w:cs="宋体"/>
          <w:color w:val="auto"/>
          <w:szCs w:val="21"/>
        </w:rPr>
      </w:pPr>
      <w:r>
        <w:rPr>
          <w:rFonts w:hint="eastAsia" w:ascii="宋体" w:hAnsi="宋体" w:cs="宋体"/>
          <w:color w:val="auto"/>
          <w:szCs w:val="21"/>
        </w:rPr>
        <w:t>（5）按本款前述规定仍不能形成结论的，由招标人（或其委托的采购代理机构）负责解释。</w:t>
      </w:r>
    </w:p>
    <w:p w14:paraId="59288502">
      <w:pPr>
        <w:spacing w:line="500" w:lineRule="exact"/>
        <w:rPr>
          <w:rFonts w:ascii="宋体" w:hAnsi="宋体" w:cs="宋体"/>
          <w:b/>
          <w:color w:val="auto"/>
          <w:szCs w:val="21"/>
        </w:rPr>
      </w:pPr>
      <w:r>
        <w:rPr>
          <w:rFonts w:hint="eastAsia" w:ascii="宋体" w:hAnsi="宋体" w:cs="宋体"/>
          <w:b/>
          <w:color w:val="auto"/>
          <w:szCs w:val="21"/>
        </w:rPr>
        <w:t xml:space="preserve">    18 招标文件的发出</w:t>
      </w:r>
    </w:p>
    <w:p w14:paraId="0A2CBA38">
      <w:pPr>
        <w:spacing w:line="500" w:lineRule="exact"/>
        <w:ind w:firstLine="420" w:firstLineChars="200"/>
        <w:rPr>
          <w:rFonts w:ascii="宋体" w:hAnsi="宋体" w:cs="宋体"/>
          <w:color w:val="auto"/>
          <w:szCs w:val="21"/>
        </w:rPr>
      </w:pPr>
      <w:r>
        <w:rPr>
          <w:rFonts w:hint="eastAsia" w:ascii="宋体" w:hAnsi="宋体" w:cs="宋体"/>
          <w:color w:val="auto"/>
          <w:szCs w:val="21"/>
        </w:rPr>
        <w:t>18.1招标文件、招标文件的澄清、修改、补充及招标答疑等在网站发出。</w:t>
      </w:r>
    </w:p>
    <w:p w14:paraId="4FC9C7E5">
      <w:pPr>
        <w:spacing w:before="93" w:beforeLines="30" w:after="93" w:afterLines="30" w:line="500" w:lineRule="exact"/>
        <w:jc w:val="center"/>
        <w:rPr>
          <w:rFonts w:ascii="宋体" w:hAnsi="宋体" w:cs="宋体"/>
          <w:b/>
          <w:color w:val="auto"/>
          <w:sz w:val="28"/>
          <w:szCs w:val="28"/>
        </w:rPr>
      </w:pPr>
      <w:bookmarkStart w:id="42" w:name="_Toc449028869"/>
      <w:r>
        <w:rPr>
          <w:rFonts w:hint="eastAsia" w:ascii="宋体" w:hAnsi="宋体" w:cs="宋体"/>
          <w:b/>
          <w:color w:val="auto"/>
          <w:sz w:val="28"/>
          <w:szCs w:val="28"/>
        </w:rPr>
        <w:t>（三）投标文件的编制</w:t>
      </w:r>
      <w:bookmarkEnd w:id="42"/>
    </w:p>
    <w:p w14:paraId="7C9D5282">
      <w:pPr>
        <w:spacing w:line="500" w:lineRule="exact"/>
        <w:ind w:firstLine="306" w:firstLineChars="145"/>
        <w:rPr>
          <w:rFonts w:ascii="宋体" w:hAnsi="宋体" w:cs="宋体"/>
          <w:b/>
          <w:color w:val="auto"/>
          <w:szCs w:val="21"/>
        </w:rPr>
      </w:pPr>
      <w:r>
        <w:rPr>
          <w:rFonts w:hint="eastAsia" w:ascii="宋体" w:hAnsi="宋体" w:cs="宋体"/>
          <w:b/>
          <w:color w:val="auto"/>
          <w:szCs w:val="21"/>
        </w:rPr>
        <w:t>19. 投标的语言及度量衡单位</w:t>
      </w:r>
    </w:p>
    <w:p w14:paraId="788D9573">
      <w:pPr>
        <w:spacing w:line="500" w:lineRule="exact"/>
        <w:ind w:left="267" w:leftChars="127" w:firstLine="105" w:firstLineChars="50"/>
        <w:rPr>
          <w:rFonts w:ascii="宋体" w:hAnsi="宋体" w:cs="宋体"/>
          <w:color w:val="auto"/>
          <w:szCs w:val="21"/>
        </w:rPr>
      </w:pPr>
      <w:r>
        <w:rPr>
          <w:rFonts w:hint="eastAsia" w:ascii="宋体" w:hAnsi="宋体" w:cs="宋体"/>
          <w:color w:val="auto"/>
          <w:szCs w:val="21"/>
        </w:rPr>
        <w:t>19.1投标人的投标文件、以及投标人与招标人就投标的所有往来函电，均须使用简体中文。</w:t>
      </w:r>
    </w:p>
    <w:p w14:paraId="4DADC22B">
      <w:pPr>
        <w:spacing w:line="500" w:lineRule="exact"/>
        <w:ind w:left="267" w:leftChars="127" w:firstLine="105" w:firstLineChars="50"/>
        <w:rPr>
          <w:rFonts w:ascii="宋体" w:hAnsi="宋体" w:cs="宋体"/>
          <w:color w:val="auto"/>
          <w:szCs w:val="21"/>
        </w:rPr>
      </w:pPr>
      <w:r>
        <w:rPr>
          <w:rFonts w:hint="eastAsia" w:ascii="宋体" w:hAnsi="宋体" w:cs="宋体"/>
          <w:color w:val="auto"/>
          <w:szCs w:val="21"/>
        </w:rPr>
        <w:t>19.2除招标文件中另有规定外，投标文件所使用的度量衡均须采用法定计量单位。</w:t>
      </w:r>
    </w:p>
    <w:p w14:paraId="6DB94D96">
      <w:pPr>
        <w:spacing w:line="500" w:lineRule="exact"/>
        <w:ind w:firstLine="207" w:firstLineChars="98"/>
        <w:rPr>
          <w:rFonts w:ascii="宋体" w:hAnsi="宋体" w:cs="宋体"/>
          <w:b/>
          <w:color w:val="auto"/>
          <w:szCs w:val="21"/>
        </w:rPr>
      </w:pPr>
      <w:r>
        <w:rPr>
          <w:rFonts w:hint="eastAsia" w:ascii="宋体" w:hAnsi="宋体" w:cs="宋体"/>
          <w:b/>
          <w:color w:val="auto"/>
          <w:szCs w:val="21"/>
        </w:rPr>
        <w:t>20. 投标文件的组成</w:t>
      </w:r>
    </w:p>
    <w:p w14:paraId="2A6B9B4A">
      <w:pPr>
        <w:spacing w:line="500" w:lineRule="exact"/>
        <w:ind w:firstLine="422" w:firstLineChars="200"/>
        <w:rPr>
          <w:rFonts w:ascii="宋体" w:hAnsi="宋体" w:cs="宋体"/>
          <w:color w:val="auto"/>
          <w:szCs w:val="21"/>
        </w:rPr>
      </w:pPr>
      <w:r>
        <w:rPr>
          <w:rFonts w:hint="eastAsia" w:ascii="宋体" w:hAnsi="宋体" w:cs="宋体"/>
          <w:b/>
          <w:color w:val="auto"/>
          <w:szCs w:val="21"/>
        </w:rPr>
        <w:t>20.1投标文件的组成</w:t>
      </w:r>
    </w:p>
    <w:p w14:paraId="1C4F64E1">
      <w:pPr>
        <w:spacing w:line="500" w:lineRule="exact"/>
        <w:ind w:firstLine="420" w:firstLineChars="200"/>
        <w:rPr>
          <w:rFonts w:ascii="宋体" w:hAnsi="宋体" w:cs="宋体"/>
          <w:color w:val="auto"/>
          <w:szCs w:val="21"/>
        </w:rPr>
      </w:pPr>
      <w:r>
        <w:rPr>
          <w:rFonts w:hint="eastAsia" w:ascii="宋体" w:hAnsi="宋体" w:cs="宋体"/>
          <w:color w:val="auto"/>
          <w:szCs w:val="21"/>
        </w:rPr>
        <w:t>具体内容详见第六章投标文件格式内容。</w:t>
      </w:r>
    </w:p>
    <w:p w14:paraId="39666C4B">
      <w:pPr>
        <w:spacing w:line="500" w:lineRule="exact"/>
        <w:ind w:firstLine="422" w:firstLineChars="200"/>
        <w:rPr>
          <w:rFonts w:ascii="宋体" w:hAnsi="宋体" w:cs="宋体"/>
          <w:b/>
          <w:color w:val="auto"/>
          <w:szCs w:val="21"/>
        </w:rPr>
      </w:pPr>
      <w:r>
        <w:rPr>
          <w:rFonts w:hint="eastAsia" w:ascii="宋体" w:hAnsi="宋体" w:cs="宋体"/>
          <w:b/>
          <w:color w:val="auto"/>
          <w:szCs w:val="21"/>
        </w:rPr>
        <w:t>20.2投标文件的编制</w:t>
      </w:r>
    </w:p>
    <w:p w14:paraId="39340785">
      <w:pPr>
        <w:spacing w:line="500" w:lineRule="exact"/>
        <w:ind w:firstLine="420" w:firstLineChars="200"/>
        <w:rPr>
          <w:rFonts w:ascii="宋体" w:hAnsi="宋体" w:cs="宋体"/>
          <w:color w:val="auto"/>
          <w:szCs w:val="21"/>
        </w:rPr>
      </w:pPr>
      <w:r>
        <w:rPr>
          <w:rFonts w:hint="eastAsia" w:ascii="宋体" w:hAnsi="宋体" w:cs="宋体"/>
          <w:color w:val="auto"/>
          <w:szCs w:val="21"/>
        </w:rPr>
        <w:t>（1）投标文件应按第六章“投标文件格式”进行编写，如有必要，可以增加附页，作为投标文件的组成部分。</w:t>
      </w:r>
    </w:p>
    <w:p w14:paraId="0C3D5DA2">
      <w:pPr>
        <w:spacing w:line="500" w:lineRule="exact"/>
        <w:ind w:firstLine="420" w:firstLineChars="200"/>
        <w:rPr>
          <w:rFonts w:ascii="宋体" w:hAnsi="宋体" w:cs="宋体"/>
          <w:color w:val="auto"/>
          <w:szCs w:val="21"/>
        </w:rPr>
      </w:pPr>
      <w:r>
        <w:rPr>
          <w:rFonts w:hint="eastAsia" w:ascii="宋体" w:hAnsi="宋体" w:cs="宋体"/>
          <w:color w:val="auto"/>
          <w:szCs w:val="21"/>
        </w:rPr>
        <w:t>（2）投标人应按照招标文件的要求，制作投标文件。</w:t>
      </w:r>
    </w:p>
    <w:p w14:paraId="01F38C13">
      <w:pPr>
        <w:spacing w:line="500" w:lineRule="exact"/>
        <w:ind w:firstLine="424" w:firstLineChars="202"/>
        <w:rPr>
          <w:rFonts w:ascii="宋体" w:hAnsi="宋体" w:cs="宋体"/>
          <w:color w:val="auto"/>
          <w:szCs w:val="21"/>
        </w:rPr>
      </w:pPr>
      <w:r>
        <w:rPr>
          <w:rFonts w:hint="eastAsia" w:ascii="宋体" w:hAnsi="宋体" w:cs="宋体"/>
          <w:color w:val="auto"/>
          <w:szCs w:val="21"/>
        </w:rPr>
        <w:t>（4）网上递交的投标文件应按招标文件规定的格式由投标人的法定代表人和投标人分别签字或盖章。</w:t>
      </w:r>
    </w:p>
    <w:p w14:paraId="7D53EE2F">
      <w:pPr>
        <w:spacing w:line="500" w:lineRule="exact"/>
        <w:ind w:firstLine="422" w:firstLineChars="200"/>
        <w:rPr>
          <w:rFonts w:ascii="宋体" w:hAnsi="宋体" w:cs="宋体"/>
          <w:color w:val="auto"/>
          <w:szCs w:val="21"/>
        </w:rPr>
      </w:pPr>
      <w:r>
        <w:rPr>
          <w:rFonts w:hint="eastAsia" w:ascii="宋体" w:hAnsi="宋体" w:cs="宋体"/>
          <w:b/>
          <w:color w:val="auto"/>
          <w:szCs w:val="21"/>
        </w:rPr>
        <w:t>21</w:t>
      </w:r>
      <w:r>
        <w:rPr>
          <w:rFonts w:hint="eastAsia" w:ascii="宋体" w:hAnsi="宋体" w:cs="宋体"/>
          <w:color w:val="auto"/>
          <w:szCs w:val="21"/>
        </w:rPr>
        <w:t>.</w:t>
      </w:r>
      <w:r>
        <w:rPr>
          <w:rFonts w:hint="eastAsia" w:ascii="宋体" w:hAnsi="宋体" w:cs="宋体"/>
          <w:b/>
          <w:color w:val="auto"/>
          <w:szCs w:val="21"/>
        </w:rPr>
        <w:t>投标报价</w:t>
      </w:r>
    </w:p>
    <w:p w14:paraId="02219291">
      <w:pPr>
        <w:spacing w:line="500" w:lineRule="exact"/>
        <w:ind w:firstLine="403" w:firstLineChars="192"/>
        <w:rPr>
          <w:rFonts w:ascii="宋体" w:hAnsi="宋体" w:cs="宋体"/>
          <w:color w:val="auto"/>
          <w:szCs w:val="21"/>
        </w:rPr>
      </w:pPr>
      <w:r>
        <w:rPr>
          <w:rFonts w:hint="eastAsia" w:ascii="宋体" w:hAnsi="宋体" w:cs="宋体"/>
          <w:color w:val="auto"/>
          <w:szCs w:val="21"/>
        </w:rPr>
        <w:t>21.1投标报价文件中的</w:t>
      </w:r>
      <w:r>
        <w:rPr>
          <w:rFonts w:hint="eastAsia" w:ascii="宋体" w:hAnsi="宋体" w:cs="宋体"/>
          <w:color w:val="auto"/>
          <w:szCs w:val="21"/>
          <w:lang w:val="en-US" w:eastAsia="zh-CN"/>
        </w:rPr>
        <w:t>报</w:t>
      </w:r>
      <w:r>
        <w:rPr>
          <w:rFonts w:hint="eastAsia" w:ascii="宋体" w:hAnsi="宋体" w:cs="宋体"/>
          <w:color w:val="auto"/>
          <w:szCs w:val="21"/>
        </w:rPr>
        <w:t>价全部采用人民币表示。投标人的报价应含有服务（货物）、利润、税金、政策性文件规定及合同包含的所有风险、责任、义务等，即为完成招标文件要求的服务（货物）内容所包含的一切应有费用，中标价格今后将不作任何调整，招标人后期不再追加费用，投标投标人自行考虑投标风险。</w:t>
      </w:r>
    </w:p>
    <w:p w14:paraId="051CF945">
      <w:pPr>
        <w:spacing w:line="500" w:lineRule="exact"/>
        <w:ind w:firstLine="420" w:firstLineChars="200"/>
        <w:rPr>
          <w:rFonts w:ascii="宋体" w:hAnsi="宋体" w:cs="宋体"/>
          <w:color w:val="auto"/>
          <w:szCs w:val="21"/>
        </w:rPr>
      </w:pPr>
      <w:r>
        <w:rPr>
          <w:rFonts w:hint="eastAsia" w:ascii="宋体" w:hAnsi="宋体" w:cs="宋体"/>
          <w:color w:val="auto"/>
          <w:szCs w:val="21"/>
        </w:rPr>
        <w:t>21.2投标人只允许有一个方案、一个报价。</w:t>
      </w:r>
    </w:p>
    <w:p w14:paraId="1F1352B4">
      <w:pPr>
        <w:spacing w:line="500" w:lineRule="exact"/>
        <w:ind w:firstLine="420" w:firstLineChars="200"/>
        <w:rPr>
          <w:rFonts w:ascii="宋体" w:hAnsi="宋体" w:cs="宋体"/>
          <w:color w:val="auto"/>
          <w:szCs w:val="21"/>
        </w:rPr>
      </w:pPr>
      <w:r>
        <w:rPr>
          <w:rFonts w:hint="eastAsia" w:ascii="宋体" w:hAnsi="宋体" w:cs="宋体"/>
          <w:color w:val="auto"/>
          <w:szCs w:val="21"/>
        </w:rPr>
        <w:t>21.3投标人应按“采购需求”所列服务进行报价，不得采用总价下浮的方式进行报价。投标报价包括国家对中标单位征收的各种税费等所有一切费用，投标报价今后将不作任何调整。</w:t>
      </w:r>
    </w:p>
    <w:p w14:paraId="26CF0DBA">
      <w:pPr>
        <w:spacing w:line="500" w:lineRule="exact"/>
        <w:ind w:firstLine="420" w:firstLineChars="200"/>
        <w:rPr>
          <w:rFonts w:ascii="宋体" w:hAnsi="宋体" w:cs="宋体"/>
          <w:color w:val="auto"/>
          <w:szCs w:val="21"/>
        </w:rPr>
      </w:pPr>
      <w:r>
        <w:rPr>
          <w:rFonts w:hint="eastAsia" w:ascii="宋体" w:hAnsi="宋体" w:cs="宋体"/>
          <w:color w:val="auto"/>
          <w:szCs w:val="21"/>
        </w:rPr>
        <w:t>21.4投标报价应由法定代表人或被授权人签署。</w:t>
      </w:r>
    </w:p>
    <w:p w14:paraId="5552ED46">
      <w:pPr>
        <w:spacing w:line="500" w:lineRule="exact"/>
        <w:ind w:firstLine="420" w:firstLineChars="200"/>
        <w:rPr>
          <w:rFonts w:ascii="宋体" w:hAnsi="宋体" w:cs="宋体"/>
          <w:bCs/>
          <w:color w:val="auto"/>
          <w:szCs w:val="21"/>
        </w:rPr>
      </w:pPr>
      <w:r>
        <w:rPr>
          <w:rFonts w:hint="eastAsia" w:ascii="宋体" w:hAnsi="宋体" w:cs="宋体"/>
          <w:bCs/>
          <w:color w:val="auto"/>
          <w:szCs w:val="21"/>
        </w:rPr>
        <w:t>21.5</w:t>
      </w:r>
      <w:r>
        <w:rPr>
          <w:rFonts w:hint="eastAsia" w:ascii="宋体" w:hAnsi="宋体"/>
          <w:b/>
          <w:bCs/>
          <w:color w:val="auto"/>
          <w:szCs w:val="21"/>
        </w:rPr>
        <w:t>投标报价不得高于最高限价，否则将作为无效投标处理。</w:t>
      </w:r>
    </w:p>
    <w:p w14:paraId="3BA8D033">
      <w:pPr>
        <w:spacing w:line="500" w:lineRule="exact"/>
        <w:ind w:firstLine="420" w:firstLineChars="200"/>
        <w:rPr>
          <w:rFonts w:ascii="宋体" w:hAnsi="宋体" w:cs="宋体"/>
          <w:color w:val="auto"/>
          <w:szCs w:val="21"/>
        </w:rPr>
      </w:pPr>
      <w:r>
        <w:rPr>
          <w:rFonts w:hint="eastAsia" w:ascii="宋体" w:hAnsi="宋体" w:cs="宋体"/>
          <w:color w:val="auto"/>
          <w:szCs w:val="21"/>
        </w:rPr>
        <w:t>21.6如投标文件中未列明全面实现投标货物功能而必须配置的配套或辅助设施及相应技术措施的费用，这些费用将被视为已包含在总投标价中。</w:t>
      </w:r>
    </w:p>
    <w:p w14:paraId="661B54FF">
      <w:pPr>
        <w:spacing w:line="500" w:lineRule="exact"/>
        <w:ind w:firstLine="420" w:firstLineChars="200"/>
        <w:rPr>
          <w:rFonts w:ascii="宋体" w:hAnsi="宋体" w:cs="宋体"/>
          <w:color w:val="auto"/>
          <w:szCs w:val="21"/>
        </w:rPr>
      </w:pPr>
      <w:r>
        <w:rPr>
          <w:rFonts w:hint="eastAsia" w:ascii="宋体" w:hAnsi="宋体" w:cs="宋体"/>
          <w:color w:val="auto"/>
          <w:szCs w:val="21"/>
        </w:rPr>
        <w:t>21.7总投标价中不得包含招标文件要求以外的内容，否则，在评标时不予核减，但在授予合同时，招标人有权将这部分价格从其中标价格中扣除。</w:t>
      </w:r>
    </w:p>
    <w:p w14:paraId="3CEAF67A">
      <w:pPr>
        <w:spacing w:line="500" w:lineRule="exact"/>
        <w:ind w:firstLine="403" w:firstLineChars="192"/>
        <w:rPr>
          <w:rFonts w:ascii="宋体" w:hAnsi="宋体" w:cs="宋体"/>
          <w:color w:val="auto"/>
          <w:szCs w:val="21"/>
        </w:rPr>
      </w:pPr>
      <w:r>
        <w:rPr>
          <w:rFonts w:hint="eastAsia" w:ascii="宋体" w:hAnsi="宋体" w:cs="宋体"/>
          <w:color w:val="auto"/>
          <w:szCs w:val="21"/>
        </w:rPr>
        <w:t>21.8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6E90D1F">
      <w:pPr>
        <w:spacing w:line="500" w:lineRule="exact"/>
        <w:ind w:firstLine="422" w:firstLineChars="200"/>
        <w:rPr>
          <w:rFonts w:ascii="宋体" w:hAnsi="宋体" w:cs="宋体"/>
          <w:b/>
          <w:color w:val="auto"/>
          <w:szCs w:val="21"/>
        </w:rPr>
      </w:pPr>
      <w:r>
        <w:rPr>
          <w:rFonts w:hint="eastAsia" w:ascii="宋体" w:hAnsi="宋体" w:cs="宋体"/>
          <w:b/>
          <w:color w:val="auto"/>
          <w:szCs w:val="21"/>
        </w:rPr>
        <w:t>22. 投标有效期</w:t>
      </w:r>
    </w:p>
    <w:p w14:paraId="16F2C616">
      <w:pPr>
        <w:spacing w:line="500" w:lineRule="exact"/>
        <w:ind w:firstLine="420" w:firstLineChars="200"/>
        <w:rPr>
          <w:rFonts w:ascii="宋体" w:hAnsi="宋体" w:cs="宋体"/>
          <w:color w:val="auto"/>
          <w:szCs w:val="21"/>
        </w:rPr>
      </w:pPr>
      <w:r>
        <w:rPr>
          <w:rFonts w:hint="eastAsia" w:ascii="宋体" w:hAnsi="宋体" w:cs="宋体"/>
          <w:color w:val="auto"/>
          <w:szCs w:val="21"/>
        </w:rPr>
        <w:t>22.1 投标有效期见投标人须知前附表。</w:t>
      </w:r>
    </w:p>
    <w:p w14:paraId="24565008">
      <w:pPr>
        <w:spacing w:line="500" w:lineRule="exact"/>
        <w:ind w:firstLine="420" w:firstLineChars="200"/>
        <w:rPr>
          <w:rFonts w:ascii="宋体" w:hAnsi="宋体" w:cs="宋体"/>
          <w:color w:val="auto"/>
          <w:szCs w:val="21"/>
        </w:rPr>
      </w:pPr>
      <w:r>
        <w:rPr>
          <w:rFonts w:hint="eastAsia" w:ascii="宋体" w:hAnsi="宋体" w:cs="宋体"/>
          <w:color w:val="auto"/>
          <w:szCs w:val="21"/>
        </w:rPr>
        <w:t>22.2在投标有效期内，投标人撤销或修改其投标文件的，应承担招标文件和法律规定的责任。</w:t>
      </w:r>
    </w:p>
    <w:p w14:paraId="615A0C4D">
      <w:pPr>
        <w:spacing w:line="500" w:lineRule="exact"/>
        <w:ind w:firstLine="420" w:firstLineChars="200"/>
        <w:rPr>
          <w:rFonts w:ascii="宋体" w:hAnsi="宋体" w:cs="宋体"/>
          <w:color w:val="auto"/>
          <w:szCs w:val="21"/>
        </w:rPr>
      </w:pPr>
      <w:r>
        <w:rPr>
          <w:rFonts w:hint="eastAsia" w:ascii="宋体" w:hAnsi="宋体" w:cs="宋体"/>
          <w:color w:val="auto"/>
          <w:szCs w:val="21"/>
        </w:rPr>
        <w:t>22.3出现特殊情况需要延长投标有效期的，招标人以书面形式通知所有投标人延长投标有效期。投标人同意延长的，不得要求或被允许修改或撤销其投标文件；投标人拒绝延长的，其投标失效。</w:t>
      </w:r>
    </w:p>
    <w:p w14:paraId="517F2154">
      <w:pPr>
        <w:spacing w:line="500" w:lineRule="exact"/>
        <w:ind w:firstLine="405" w:firstLineChars="192"/>
        <w:rPr>
          <w:rFonts w:ascii="宋体" w:hAnsi="宋体" w:cs="宋体"/>
          <w:b/>
          <w:color w:val="auto"/>
          <w:szCs w:val="21"/>
        </w:rPr>
      </w:pPr>
      <w:r>
        <w:rPr>
          <w:rFonts w:hint="eastAsia" w:ascii="宋体" w:hAnsi="宋体" w:cs="宋体"/>
          <w:b/>
          <w:color w:val="auto"/>
          <w:szCs w:val="21"/>
        </w:rPr>
        <w:t>23. 投标保证金</w:t>
      </w:r>
    </w:p>
    <w:p w14:paraId="01F99030">
      <w:pPr>
        <w:spacing w:line="500" w:lineRule="exact"/>
        <w:ind w:firstLine="420" w:firstLineChars="200"/>
        <w:rPr>
          <w:rFonts w:ascii="宋体" w:hAnsi="宋体" w:cs="宋体"/>
          <w:color w:val="auto"/>
          <w:szCs w:val="21"/>
        </w:rPr>
      </w:pPr>
      <w:r>
        <w:rPr>
          <w:rFonts w:hint="eastAsia" w:ascii="宋体" w:hAnsi="宋体" w:cs="宋体"/>
          <w:color w:val="auto"/>
          <w:szCs w:val="21"/>
        </w:rPr>
        <w:t>23.1投标人须知前附表规定递交投标保证金的，投标人在递交投标文件的同时，应按投标人须知前附表规定的金额、担保形式规定的或者事先经过招标人认可的保证金格式递交保证金，并作为其投标文件的组成部分。</w:t>
      </w:r>
    </w:p>
    <w:p w14:paraId="04C711A3">
      <w:pPr>
        <w:spacing w:line="500" w:lineRule="exact"/>
        <w:ind w:firstLine="420" w:firstLineChars="200"/>
        <w:rPr>
          <w:rFonts w:ascii="宋体" w:hAnsi="宋体" w:cs="宋体"/>
          <w:color w:val="auto"/>
          <w:szCs w:val="21"/>
        </w:rPr>
      </w:pPr>
      <w:r>
        <w:rPr>
          <w:rFonts w:hint="eastAsia" w:ascii="宋体" w:hAnsi="宋体" w:cs="宋体"/>
          <w:color w:val="auto"/>
          <w:szCs w:val="21"/>
        </w:rPr>
        <w:t>23.2投标人不按招标文件要求提交投标保证金的，评标委员会将否决其投标。</w:t>
      </w:r>
    </w:p>
    <w:p w14:paraId="1E9EA90F">
      <w:pPr>
        <w:spacing w:line="500" w:lineRule="exact"/>
        <w:ind w:firstLine="420" w:firstLineChars="200"/>
        <w:rPr>
          <w:rFonts w:ascii="宋体" w:hAnsi="宋体" w:cs="宋体"/>
          <w:color w:val="auto"/>
          <w:szCs w:val="21"/>
        </w:rPr>
      </w:pPr>
      <w:r>
        <w:rPr>
          <w:rFonts w:hint="eastAsia" w:ascii="宋体" w:hAnsi="宋体" w:cs="宋体"/>
          <w:color w:val="auto"/>
          <w:szCs w:val="21"/>
        </w:rPr>
        <w:t>23.3未中标投标人的投标保证金，在中标通知书发放后5个工作日内退还。</w:t>
      </w:r>
    </w:p>
    <w:p w14:paraId="143228FB">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23.4有下列情形之一的，投标保证金将不予退还： </w:t>
      </w:r>
    </w:p>
    <w:p w14:paraId="5079D754">
      <w:pPr>
        <w:spacing w:line="500" w:lineRule="exact"/>
        <w:ind w:firstLine="420" w:firstLineChars="200"/>
        <w:rPr>
          <w:rFonts w:ascii="宋体" w:hAnsi="宋体" w:cs="宋体"/>
          <w:color w:val="auto"/>
          <w:szCs w:val="21"/>
        </w:rPr>
      </w:pPr>
      <w:r>
        <w:rPr>
          <w:rFonts w:hint="eastAsia" w:ascii="宋体" w:hAnsi="宋体" w:cs="宋体"/>
          <w:color w:val="auto"/>
          <w:szCs w:val="21"/>
        </w:rPr>
        <w:t>（1）投标截止后投标人撤销投标文件的；</w:t>
      </w:r>
    </w:p>
    <w:p w14:paraId="04F5B07A">
      <w:pPr>
        <w:spacing w:line="500" w:lineRule="exact"/>
        <w:ind w:firstLine="420" w:firstLineChars="200"/>
        <w:rPr>
          <w:rFonts w:ascii="宋体" w:hAnsi="宋体" w:cs="宋体"/>
          <w:color w:val="auto"/>
          <w:szCs w:val="21"/>
        </w:rPr>
      </w:pPr>
      <w:r>
        <w:rPr>
          <w:rFonts w:hint="eastAsia" w:ascii="宋体" w:hAnsi="宋体" w:cs="宋体"/>
          <w:color w:val="auto"/>
          <w:szCs w:val="21"/>
        </w:rPr>
        <w:t>（2）中标人无正当理由不与招标人订立合同，在签订合同时向招标人提出附加条件，或者不按照招标文件要求提交履约保证金的。</w:t>
      </w:r>
    </w:p>
    <w:p w14:paraId="4CDE01CD">
      <w:pPr>
        <w:spacing w:before="93" w:beforeLines="30" w:after="93" w:afterLines="30" w:line="500" w:lineRule="exact"/>
        <w:jc w:val="center"/>
        <w:rPr>
          <w:rFonts w:ascii="宋体" w:hAnsi="宋体" w:cs="宋体"/>
          <w:b/>
          <w:color w:val="auto"/>
          <w:sz w:val="28"/>
          <w:szCs w:val="28"/>
        </w:rPr>
      </w:pPr>
      <w:bookmarkStart w:id="43" w:name="_Toc449028870"/>
      <w:r>
        <w:rPr>
          <w:rFonts w:hint="eastAsia" w:ascii="宋体" w:hAnsi="宋体" w:cs="宋体"/>
          <w:b/>
          <w:color w:val="auto"/>
          <w:sz w:val="28"/>
          <w:szCs w:val="28"/>
        </w:rPr>
        <w:t>（四）投标文件的递交</w:t>
      </w:r>
      <w:bookmarkEnd w:id="43"/>
    </w:p>
    <w:p w14:paraId="188FD95D">
      <w:pPr>
        <w:spacing w:line="500" w:lineRule="exact"/>
        <w:rPr>
          <w:rFonts w:ascii="宋体" w:hAnsi="宋体" w:cs="宋体"/>
          <w:b/>
          <w:color w:val="auto"/>
          <w:szCs w:val="21"/>
        </w:rPr>
      </w:pPr>
      <w:r>
        <w:rPr>
          <w:rFonts w:hint="eastAsia" w:ascii="宋体" w:hAnsi="宋体" w:cs="宋体"/>
          <w:b/>
          <w:color w:val="auto"/>
          <w:sz w:val="24"/>
        </w:rPr>
        <w:t xml:space="preserve">  </w:t>
      </w:r>
      <w:r>
        <w:rPr>
          <w:rFonts w:hint="eastAsia" w:ascii="宋体" w:hAnsi="宋体" w:cs="宋体"/>
          <w:b/>
          <w:color w:val="auto"/>
          <w:szCs w:val="21"/>
        </w:rPr>
        <w:t xml:space="preserve"> 24. 投标文件的份数和签署</w:t>
      </w:r>
    </w:p>
    <w:p w14:paraId="30F5148C">
      <w:pPr>
        <w:spacing w:line="500" w:lineRule="exact"/>
        <w:ind w:firstLine="315" w:firstLineChars="150"/>
        <w:jc w:val="left"/>
        <w:rPr>
          <w:rFonts w:ascii="宋体" w:hAnsi="宋体" w:cs="宋体"/>
          <w:color w:val="auto"/>
          <w:szCs w:val="21"/>
        </w:rPr>
      </w:pPr>
      <w:bookmarkStart w:id="44" w:name="_Toc449028871"/>
      <w:r>
        <w:rPr>
          <w:rFonts w:hint="eastAsia" w:ascii="宋体" w:hAnsi="宋体" w:cs="宋体"/>
          <w:color w:val="auto"/>
          <w:szCs w:val="21"/>
        </w:rPr>
        <w:t>24.1投标文件须按格式文件要求签字或盖章，否则经评委会一致认定后, 按照无效投标处理。</w:t>
      </w:r>
    </w:p>
    <w:p w14:paraId="0BBFAA11">
      <w:pPr>
        <w:spacing w:line="500" w:lineRule="exact"/>
        <w:ind w:firstLine="312" w:firstLineChars="148"/>
        <w:jc w:val="left"/>
        <w:rPr>
          <w:rFonts w:ascii="宋体" w:hAnsi="宋体" w:cs="宋体"/>
          <w:b/>
          <w:color w:val="auto"/>
          <w:szCs w:val="21"/>
        </w:rPr>
      </w:pPr>
      <w:r>
        <w:rPr>
          <w:rFonts w:hint="eastAsia" w:ascii="宋体" w:hAnsi="宋体" w:cs="宋体"/>
          <w:b/>
          <w:color w:val="auto"/>
          <w:szCs w:val="21"/>
        </w:rPr>
        <w:t>25. 投标文件的提交</w:t>
      </w:r>
    </w:p>
    <w:p w14:paraId="203AAEB9">
      <w:pPr>
        <w:spacing w:line="500" w:lineRule="exact"/>
        <w:ind w:firstLine="310" w:firstLineChars="148"/>
        <w:jc w:val="left"/>
        <w:rPr>
          <w:rFonts w:hint="default" w:ascii="宋体" w:hAnsi="宋体" w:eastAsia="宋体" w:cs="宋体"/>
          <w:bCs/>
          <w:color w:val="auto"/>
          <w:szCs w:val="21"/>
          <w:lang w:val="en-US" w:eastAsia="zh-CN"/>
        </w:rPr>
      </w:pPr>
      <w:r>
        <w:rPr>
          <w:rFonts w:hint="eastAsia" w:ascii="宋体" w:hAnsi="宋体" w:cs="宋体"/>
          <w:bCs/>
          <w:color w:val="auto"/>
          <w:szCs w:val="21"/>
        </w:rPr>
        <w:t>25.1</w:t>
      </w:r>
      <w:r>
        <w:rPr>
          <w:rFonts w:hint="eastAsia" w:ascii="宋体" w:hAnsi="宋体" w:cs="宋体"/>
          <w:b/>
          <w:bCs/>
          <w:color w:val="auto"/>
          <w:szCs w:val="21"/>
        </w:rPr>
        <w:t>投标截止时间前须</w:t>
      </w:r>
      <w:r>
        <w:rPr>
          <w:rFonts w:hint="eastAsia" w:ascii="宋体" w:hAnsi="宋体" w:cs="宋体"/>
          <w:b/>
          <w:bCs/>
          <w:color w:val="auto"/>
          <w:szCs w:val="21"/>
          <w:lang w:val="en-US" w:eastAsia="zh-CN"/>
        </w:rPr>
        <w:t>在规定时间前按要求</w:t>
      </w:r>
      <w:r>
        <w:rPr>
          <w:rFonts w:hint="eastAsia" w:ascii="宋体" w:hAnsi="宋体" w:cs="宋体"/>
          <w:b/>
          <w:bCs/>
          <w:color w:val="auto"/>
          <w:szCs w:val="21"/>
        </w:rPr>
        <w:t>递交纸质版投标文件</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否按不予接收。</w:t>
      </w:r>
    </w:p>
    <w:p w14:paraId="4DBC5CD5">
      <w:pPr>
        <w:spacing w:line="500" w:lineRule="exact"/>
        <w:ind w:firstLine="314" w:firstLineChars="149"/>
        <w:rPr>
          <w:rFonts w:ascii="宋体" w:hAnsi="宋体" w:cs="宋体"/>
          <w:b/>
          <w:color w:val="auto"/>
          <w:szCs w:val="21"/>
        </w:rPr>
      </w:pPr>
      <w:r>
        <w:rPr>
          <w:rFonts w:hint="eastAsia" w:ascii="宋体" w:hAnsi="宋体" w:cs="宋体"/>
          <w:b/>
          <w:color w:val="auto"/>
          <w:szCs w:val="21"/>
        </w:rPr>
        <w:t>26．投标文件的修改与撤回</w:t>
      </w:r>
    </w:p>
    <w:p w14:paraId="73AF4EAE">
      <w:pPr>
        <w:spacing w:line="500" w:lineRule="exact"/>
        <w:ind w:firstLine="310" w:firstLineChars="148"/>
        <w:jc w:val="left"/>
        <w:rPr>
          <w:rFonts w:ascii="宋体" w:hAnsi="宋体" w:cs="宋体"/>
          <w:bCs/>
          <w:color w:val="auto"/>
          <w:szCs w:val="21"/>
        </w:rPr>
      </w:pPr>
      <w:r>
        <w:rPr>
          <w:rFonts w:hint="eastAsia" w:ascii="宋体" w:hAnsi="宋体" w:cs="宋体"/>
          <w:bCs/>
          <w:color w:val="auto"/>
          <w:szCs w:val="21"/>
        </w:rPr>
        <w:t>26.1在规定的投标截止时间前，投标人可以撤回已递交的投标文件，并可修改后重新递交，开标时以投标截止时间前投标人最终递交的投标文件为准。</w:t>
      </w:r>
    </w:p>
    <w:p w14:paraId="5C9A4D67">
      <w:pPr>
        <w:spacing w:before="93" w:beforeLines="30" w:after="93" w:afterLines="30" w:line="500" w:lineRule="exact"/>
        <w:jc w:val="center"/>
        <w:rPr>
          <w:rFonts w:ascii="宋体" w:hAnsi="宋体" w:cs="宋体"/>
          <w:b/>
          <w:color w:val="auto"/>
          <w:sz w:val="28"/>
          <w:szCs w:val="28"/>
        </w:rPr>
      </w:pPr>
      <w:r>
        <w:rPr>
          <w:rFonts w:hint="eastAsia" w:ascii="宋体" w:hAnsi="宋体" w:cs="宋体"/>
          <w:b/>
          <w:color w:val="auto"/>
          <w:sz w:val="28"/>
          <w:szCs w:val="28"/>
        </w:rPr>
        <w:t>（五）开标、评标和定标</w:t>
      </w:r>
      <w:bookmarkEnd w:id="44"/>
    </w:p>
    <w:p w14:paraId="65B91A2F">
      <w:pPr>
        <w:spacing w:line="500" w:lineRule="exact"/>
        <w:rPr>
          <w:rFonts w:ascii="宋体" w:hAnsi="宋体" w:cs="宋体"/>
          <w:b/>
          <w:color w:val="auto"/>
          <w:szCs w:val="21"/>
        </w:rPr>
      </w:pPr>
      <w:r>
        <w:rPr>
          <w:rFonts w:hint="eastAsia" w:ascii="宋体" w:hAnsi="宋体" w:cs="宋体"/>
          <w:b/>
          <w:color w:val="auto"/>
          <w:sz w:val="24"/>
        </w:rPr>
        <w:t xml:space="preserve">  </w:t>
      </w:r>
      <w:r>
        <w:rPr>
          <w:rFonts w:hint="eastAsia" w:ascii="宋体" w:hAnsi="宋体" w:cs="宋体"/>
          <w:b/>
          <w:color w:val="auto"/>
          <w:szCs w:val="21"/>
        </w:rPr>
        <w:t xml:space="preserve"> 27. 开标</w:t>
      </w:r>
    </w:p>
    <w:p w14:paraId="4928C5EA">
      <w:pPr>
        <w:spacing w:line="500" w:lineRule="exact"/>
        <w:ind w:firstLine="315" w:firstLineChars="150"/>
        <w:jc w:val="left"/>
        <w:rPr>
          <w:rFonts w:ascii="宋体" w:hAnsi="宋体" w:cs="宋体"/>
          <w:color w:val="auto"/>
          <w:szCs w:val="21"/>
        </w:rPr>
      </w:pPr>
      <w:r>
        <w:rPr>
          <w:rFonts w:hint="eastAsia" w:ascii="宋体" w:hAnsi="宋体" w:cs="宋体"/>
          <w:color w:val="auto"/>
          <w:szCs w:val="21"/>
        </w:rPr>
        <w:t>27.1  开标的时间和地点</w:t>
      </w:r>
    </w:p>
    <w:p w14:paraId="1122FB32">
      <w:pPr>
        <w:spacing w:line="500" w:lineRule="exact"/>
        <w:ind w:firstLine="315" w:firstLineChars="150"/>
        <w:jc w:val="left"/>
        <w:rPr>
          <w:rFonts w:ascii="宋体" w:hAnsi="宋体" w:cs="宋体"/>
          <w:color w:val="auto"/>
          <w:szCs w:val="21"/>
        </w:rPr>
      </w:pPr>
      <w:r>
        <w:rPr>
          <w:rFonts w:hint="eastAsia" w:ascii="宋体" w:hAnsi="宋体" w:cs="宋体"/>
          <w:color w:val="auto"/>
          <w:szCs w:val="21"/>
        </w:rPr>
        <w:t>27.1.1招标人按招标公告中的开标时间和地点公开开标，并邀请所有投标人参加。</w:t>
      </w:r>
    </w:p>
    <w:p w14:paraId="6E9A2C7D">
      <w:pPr>
        <w:spacing w:line="500" w:lineRule="exact"/>
        <w:ind w:firstLine="315" w:firstLineChars="150"/>
        <w:jc w:val="left"/>
        <w:rPr>
          <w:rFonts w:ascii="宋体" w:hAnsi="宋体" w:cs="宋体"/>
          <w:color w:val="auto"/>
          <w:szCs w:val="21"/>
        </w:rPr>
      </w:pPr>
      <w:r>
        <w:rPr>
          <w:rFonts w:hint="eastAsia" w:ascii="宋体" w:hAnsi="宋体" w:cs="宋体"/>
          <w:color w:val="auto"/>
          <w:szCs w:val="21"/>
        </w:rPr>
        <w:t>27.2  参与开标的监督部门</w:t>
      </w:r>
    </w:p>
    <w:p w14:paraId="0071EB82">
      <w:pPr>
        <w:spacing w:line="500" w:lineRule="exact"/>
        <w:ind w:firstLine="315" w:firstLineChars="150"/>
        <w:jc w:val="left"/>
        <w:rPr>
          <w:rFonts w:ascii="宋体" w:hAnsi="宋体" w:cs="宋体"/>
          <w:color w:val="auto"/>
          <w:szCs w:val="21"/>
        </w:rPr>
      </w:pPr>
      <w:r>
        <w:rPr>
          <w:rFonts w:hint="eastAsia" w:ascii="宋体" w:hAnsi="宋体" w:cs="宋体"/>
          <w:color w:val="auto"/>
          <w:szCs w:val="21"/>
        </w:rPr>
        <w:t>27.2.1</w:t>
      </w:r>
      <w:r>
        <w:rPr>
          <w:rFonts w:hint="eastAsia" w:ascii="宋体" w:hAnsi="宋体" w:cs="宋体"/>
          <w:color w:val="auto"/>
        </w:rPr>
        <w:t>招标人可以邀请相关监管部门参加</w:t>
      </w:r>
      <w:r>
        <w:rPr>
          <w:rFonts w:hint="eastAsia" w:ascii="宋体" w:hAnsi="宋体" w:cs="宋体"/>
          <w:color w:val="auto"/>
          <w:szCs w:val="21"/>
        </w:rPr>
        <w:t>。</w:t>
      </w:r>
    </w:p>
    <w:p w14:paraId="3036A2A2">
      <w:pPr>
        <w:adjustRightInd w:val="0"/>
        <w:snapToGrid w:val="0"/>
        <w:spacing w:line="500" w:lineRule="exact"/>
        <w:ind w:firstLine="315" w:firstLineChars="150"/>
        <w:rPr>
          <w:rFonts w:ascii="宋体" w:hAnsi="宋体" w:cs="宋体"/>
          <w:color w:val="auto"/>
          <w:szCs w:val="21"/>
        </w:rPr>
      </w:pPr>
      <w:r>
        <w:rPr>
          <w:rFonts w:hint="eastAsia" w:ascii="宋体" w:hAnsi="宋体" w:cs="宋体"/>
          <w:color w:val="auto"/>
          <w:szCs w:val="21"/>
        </w:rPr>
        <w:t>27.3</w:t>
      </w:r>
      <w:r>
        <w:rPr>
          <w:rFonts w:hint="eastAsia" w:ascii="宋体" w:hAnsi="宋体" w:cs="宋体"/>
          <w:color w:val="auto"/>
          <w:szCs w:val="21"/>
          <w:lang w:val="en-US" w:eastAsia="zh-CN"/>
        </w:rPr>
        <w:t xml:space="preserve">  </w:t>
      </w:r>
      <w:r>
        <w:rPr>
          <w:rFonts w:hint="eastAsia" w:ascii="宋体" w:hAnsi="宋体" w:cs="宋体"/>
          <w:color w:val="auto"/>
          <w:szCs w:val="21"/>
        </w:rPr>
        <w:t>开标程序</w:t>
      </w:r>
    </w:p>
    <w:p w14:paraId="5C27A3B3">
      <w:pPr>
        <w:spacing w:line="50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开标会议由代理机构主持。</w:t>
      </w:r>
    </w:p>
    <w:p w14:paraId="0346E18A">
      <w:pPr>
        <w:spacing w:line="50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（1）宣布开标纪律；</w:t>
      </w:r>
    </w:p>
    <w:p w14:paraId="686E7692">
      <w:pPr>
        <w:spacing w:line="50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（2）宣布招标人、代理机构主持人等有关人员姓名；</w:t>
      </w:r>
    </w:p>
    <w:p w14:paraId="1E27BAA0">
      <w:pPr>
        <w:spacing w:line="50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 xml:space="preserve">（3）公布投标截止时间前，递交投标文件的投标人名称等； </w:t>
      </w:r>
    </w:p>
    <w:p w14:paraId="6DF1C5EB">
      <w:pPr>
        <w:spacing w:line="50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（4）公布投标人投标报价、质量目标、供货期及其他内容，并记录在案；</w:t>
      </w:r>
    </w:p>
    <w:p w14:paraId="5906DA52">
      <w:pPr>
        <w:spacing w:line="500" w:lineRule="exact"/>
        <w:ind w:right="-155" w:rightChars="-74" w:firstLine="630" w:firstLineChars="300"/>
        <w:jc w:val="left"/>
        <w:rPr>
          <w:rFonts w:ascii="宋体" w:hAnsi="宋体" w:cs="宋体"/>
          <w:color w:val="auto"/>
          <w:szCs w:val="21"/>
        </w:rPr>
      </w:pPr>
      <w:r>
        <w:rPr>
          <w:rFonts w:hint="eastAsia" w:ascii="宋体" w:hAnsi="宋体" w:cs="宋体"/>
          <w:color w:val="auto"/>
          <w:szCs w:val="21"/>
        </w:rPr>
        <w:t>（5）开标结束。</w:t>
      </w:r>
    </w:p>
    <w:p w14:paraId="22572585">
      <w:pPr>
        <w:spacing w:line="500" w:lineRule="exact"/>
        <w:ind w:right="-155" w:rightChars="-74" w:firstLine="210" w:firstLineChars="100"/>
        <w:jc w:val="left"/>
        <w:rPr>
          <w:rFonts w:ascii="宋体" w:hAnsi="宋体" w:cs="宋体"/>
          <w:color w:val="auto"/>
          <w:szCs w:val="21"/>
        </w:rPr>
      </w:pPr>
      <w:r>
        <w:rPr>
          <w:rFonts w:hint="eastAsia" w:ascii="宋体" w:hAnsi="宋体" w:cs="宋体"/>
          <w:color w:val="auto"/>
          <w:szCs w:val="21"/>
        </w:rPr>
        <w:t xml:space="preserve"> 27.4开标疑义</w:t>
      </w:r>
    </w:p>
    <w:p w14:paraId="33523C3C">
      <w:pPr>
        <w:spacing w:line="500" w:lineRule="exact"/>
        <w:ind w:right="-155" w:rightChars="-74" w:firstLine="420" w:firstLineChars="200"/>
        <w:jc w:val="left"/>
        <w:rPr>
          <w:rFonts w:ascii="宋体" w:hAnsi="宋体" w:cs="宋体"/>
          <w:color w:val="auto"/>
          <w:szCs w:val="21"/>
        </w:rPr>
      </w:pPr>
      <w:r>
        <w:rPr>
          <w:rFonts w:hint="eastAsia" w:ascii="宋体" w:hAnsi="宋体" w:cs="宋体"/>
          <w:color w:val="auto"/>
          <w:szCs w:val="21"/>
        </w:rPr>
        <w:t>投标人代表对开标过程和开标记录有疑义，以及认为招标人、采购代理机构相关工作人员有需要回避的情形的，应当场提出询问或者回避申请。</w:t>
      </w:r>
    </w:p>
    <w:p w14:paraId="0AF92ACC">
      <w:pPr>
        <w:spacing w:line="500" w:lineRule="exact"/>
        <w:ind w:firstLine="421"/>
        <w:jc w:val="left"/>
        <w:rPr>
          <w:rFonts w:ascii="宋体" w:hAnsi="宋体" w:cs="宋体"/>
          <w:b/>
          <w:color w:val="auto"/>
          <w:szCs w:val="21"/>
        </w:rPr>
      </w:pPr>
      <w:r>
        <w:rPr>
          <w:rFonts w:hint="eastAsia" w:ascii="宋体" w:hAnsi="宋体" w:cs="宋体"/>
          <w:b/>
          <w:color w:val="auto"/>
          <w:szCs w:val="21"/>
        </w:rPr>
        <w:t>28.评标委员会</w:t>
      </w:r>
    </w:p>
    <w:p w14:paraId="72582DBF">
      <w:pPr>
        <w:spacing w:line="500" w:lineRule="exact"/>
        <w:ind w:firstLine="420" w:firstLineChars="200"/>
        <w:jc w:val="left"/>
        <w:rPr>
          <w:rFonts w:ascii="宋体" w:cs="宋体"/>
          <w:color w:val="auto"/>
          <w:szCs w:val="21"/>
        </w:rPr>
      </w:pPr>
      <w:r>
        <w:rPr>
          <w:rFonts w:hint="eastAsia" w:ascii="宋体"/>
          <w:color w:val="auto"/>
          <w:szCs w:val="21"/>
        </w:rPr>
        <w:t>28.1</w:t>
      </w:r>
      <w:r>
        <w:rPr>
          <w:rFonts w:hint="eastAsia" w:ascii="宋体" w:hAnsi="宋体" w:cs="宋体"/>
          <w:color w:val="auto"/>
          <w:szCs w:val="21"/>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2334D38">
      <w:pPr>
        <w:spacing w:line="500" w:lineRule="exact"/>
        <w:ind w:firstLine="420" w:firstLineChars="200"/>
        <w:jc w:val="left"/>
        <w:rPr>
          <w:rFonts w:ascii="宋体" w:cs="宋体"/>
          <w:color w:val="auto"/>
          <w:szCs w:val="21"/>
        </w:rPr>
      </w:pPr>
      <w:r>
        <w:rPr>
          <w:rFonts w:hint="eastAsia" w:ascii="宋体" w:hAnsi="宋体" w:cs="宋体"/>
          <w:color w:val="auto"/>
          <w:szCs w:val="21"/>
        </w:rPr>
        <w:t>28</w:t>
      </w:r>
      <w:r>
        <w:rPr>
          <w:rFonts w:ascii="宋体" w:hAnsi="宋体" w:cs="宋体"/>
          <w:color w:val="auto"/>
          <w:szCs w:val="21"/>
        </w:rPr>
        <w:t xml:space="preserve">.2 </w:t>
      </w:r>
      <w:r>
        <w:rPr>
          <w:rFonts w:hint="eastAsia" w:ascii="宋体" w:hAnsi="宋体" w:cs="宋体"/>
          <w:color w:val="auto"/>
          <w:szCs w:val="21"/>
        </w:rPr>
        <w:t>评标委员会成员有下列情形之一的，应当回避：</w:t>
      </w:r>
    </w:p>
    <w:p w14:paraId="24E37664">
      <w:pPr>
        <w:spacing w:line="50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）投标人或投标人主要负责人的近亲属；</w:t>
      </w:r>
    </w:p>
    <w:p w14:paraId="5E64454A">
      <w:pPr>
        <w:spacing w:line="50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）项目主管部门或者行政监督部门的人员；</w:t>
      </w:r>
    </w:p>
    <w:p w14:paraId="1BD179E4">
      <w:pPr>
        <w:spacing w:line="50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）与投标人有经济利益关系；</w:t>
      </w:r>
    </w:p>
    <w:p w14:paraId="5768C106">
      <w:pPr>
        <w:spacing w:line="500" w:lineRule="exact"/>
        <w:ind w:firstLine="420" w:firstLineChars="200"/>
        <w:jc w:val="left"/>
        <w:rPr>
          <w:rFonts w:asci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）曾因在招标、评标以及其他与招标投标有关活动中从事违法行为而受过行政处罚或刑事处罚的；</w:t>
      </w:r>
    </w:p>
    <w:p w14:paraId="45ED8E7F">
      <w:pPr>
        <w:spacing w:line="500" w:lineRule="exact"/>
        <w:ind w:firstLine="420" w:firstLineChars="200"/>
        <w:jc w:val="left"/>
        <w:rPr>
          <w:rFonts w:ascii="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）与投标人有其他利害关系。</w:t>
      </w:r>
    </w:p>
    <w:p w14:paraId="3B189A38">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28.3评标过程中，评标委员会成员有回避事由、擅离职守或因健康等原因不能继续评标的， 招标人有权更换。被更换的评标委员会成员作出的评审结论无效，由更换后的评标委员会成员重新进行评审。</w:t>
      </w:r>
    </w:p>
    <w:p w14:paraId="762A94FE">
      <w:pPr>
        <w:spacing w:line="500" w:lineRule="exact"/>
        <w:ind w:firstLine="207" w:firstLineChars="98"/>
        <w:jc w:val="left"/>
        <w:rPr>
          <w:rFonts w:ascii="宋体" w:hAnsi="宋体" w:cs="宋体"/>
          <w:b/>
          <w:color w:val="auto"/>
          <w:szCs w:val="21"/>
        </w:rPr>
      </w:pPr>
      <w:r>
        <w:rPr>
          <w:rFonts w:hint="eastAsia" w:ascii="宋体" w:hAnsi="宋体" w:cs="宋体"/>
          <w:b/>
          <w:color w:val="auto"/>
          <w:szCs w:val="21"/>
        </w:rPr>
        <w:t>29. 评标</w:t>
      </w:r>
    </w:p>
    <w:p w14:paraId="70BEEED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29.1评标委员会按照第三章“评标办法”规定的方法、评审因素、标准和程序对投标文件进行评审。第三章“评标办法”没有规定的方法、评审因素和标准，不作为评标依据。</w:t>
      </w:r>
    </w:p>
    <w:p w14:paraId="26922152">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29.2评标完成后，评标委员会应向招标人提交书面评标报告和中标候选人名单。评标委员会推荐中标候选人的人数见投标人须知前附表。</w:t>
      </w:r>
    </w:p>
    <w:p w14:paraId="260E0B5A">
      <w:pPr>
        <w:spacing w:line="500" w:lineRule="exact"/>
        <w:ind w:firstLine="420" w:firstLineChars="200"/>
        <w:jc w:val="left"/>
        <w:rPr>
          <w:rFonts w:ascii="宋体"/>
          <w:color w:val="auto"/>
          <w:szCs w:val="21"/>
        </w:rPr>
      </w:pPr>
      <w:r>
        <w:rPr>
          <w:rFonts w:hint="eastAsia" w:ascii="宋体"/>
          <w:color w:val="auto"/>
          <w:szCs w:val="21"/>
        </w:rPr>
        <w:t>29.3评标原则：遵循公平、公正、科学和择优的原则。</w:t>
      </w:r>
    </w:p>
    <w:p w14:paraId="3865BCA0">
      <w:pPr>
        <w:tabs>
          <w:tab w:val="left" w:pos="720"/>
        </w:tabs>
        <w:spacing w:line="500" w:lineRule="exact"/>
        <w:ind w:firstLine="420" w:firstLineChars="200"/>
        <w:jc w:val="left"/>
        <w:rPr>
          <w:rFonts w:ascii="宋体"/>
          <w:color w:val="auto"/>
          <w:szCs w:val="21"/>
        </w:rPr>
      </w:pPr>
      <w:r>
        <w:rPr>
          <w:rFonts w:hint="eastAsia" w:ascii="宋体"/>
          <w:color w:val="auto"/>
          <w:szCs w:val="21"/>
        </w:rPr>
        <w:t>29.4投标文件的澄清</w:t>
      </w:r>
    </w:p>
    <w:p w14:paraId="2BE859A2">
      <w:pPr>
        <w:tabs>
          <w:tab w:val="left" w:pos="720"/>
        </w:tabs>
        <w:spacing w:line="500" w:lineRule="exact"/>
        <w:ind w:firstLine="420" w:firstLineChars="200"/>
        <w:jc w:val="left"/>
        <w:rPr>
          <w:rFonts w:ascii="宋体"/>
          <w:color w:val="auto"/>
          <w:szCs w:val="21"/>
        </w:rPr>
      </w:pPr>
      <w:r>
        <w:rPr>
          <w:rFonts w:hint="eastAsia" w:ascii="宋体"/>
          <w:color w:val="auto"/>
          <w:szCs w:val="21"/>
        </w:rPr>
        <w:t>29.4.1在评标过程中，评标委员会认为需要，在</w:t>
      </w:r>
      <w:r>
        <w:rPr>
          <w:rFonts w:hint="eastAsia" w:ascii="宋体"/>
          <w:color w:val="auto"/>
          <w:szCs w:val="21"/>
          <w:lang w:val="en-US" w:eastAsia="zh-CN"/>
        </w:rPr>
        <w:t>招标人</w:t>
      </w:r>
      <w:r>
        <w:rPr>
          <w:rFonts w:hint="eastAsia" w:ascii="宋体"/>
          <w:color w:val="auto"/>
          <w:szCs w:val="21"/>
        </w:rPr>
        <w:t>的监督下，可要求投标人对投标文件中的有关问题进行澄清或提供补充说明及有关资料，投标人应做出书面答复。</w:t>
      </w:r>
    </w:p>
    <w:p w14:paraId="1AFB7AB9">
      <w:pPr>
        <w:tabs>
          <w:tab w:val="left" w:pos="720"/>
        </w:tabs>
        <w:spacing w:line="500" w:lineRule="exact"/>
        <w:ind w:firstLine="420" w:firstLineChars="200"/>
        <w:jc w:val="left"/>
        <w:rPr>
          <w:rFonts w:ascii="宋体"/>
          <w:color w:val="auto"/>
          <w:szCs w:val="21"/>
        </w:rPr>
      </w:pPr>
      <w:r>
        <w:rPr>
          <w:rFonts w:hint="eastAsia" w:ascii="宋体"/>
          <w:color w:val="auto"/>
          <w:szCs w:val="21"/>
        </w:rPr>
        <w:t>29.4.2书面答复须经投标人法定代表人或其委托代理人签字或盖章，签字或盖章的书面答复将被视为投标文件的组成部分。</w:t>
      </w:r>
    </w:p>
    <w:p w14:paraId="49E336EA">
      <w:pPr>
        <w:tabs>
          <w:tab w:val="left" w:pos="720"/>
        </w:tabs>
        <w:spacing w:line="500" w:lineRule="exact"/>
        <w:ind w:firstLine="420" w:firstLineChars="200"/>
        <w:jc w:val="left"/>
        <w:rPr>
          <w:rFonts w:ascii="宋体"/>
          <w:color w:val="auto"/>
          <w:szCs w:val="21"/>
        </w:rPr>
      </w:pPr>
      <w:r>
        <w:rPr>
          <w:rFonts w:hint="eastAsia" w:ascii="宋体"/>
          <w:color w:val="auto"/>
          <w:szCs w:val="21"/>
        </w:rPr>
        <w:t>29.5报价合理性的判断</w:t>
      </w:r>
    </w:p>
    <w:p w14:paraId="7A2C5D0C">
      <w:pPr>
        <w:spacing w:line="500" w:lineRule="exact"/>
        <w:ind w:firstLine="420" w:firstLineChars="200"/>
        <w:jc w:val="left"/>
        <w:rPr>
          <w:rFonts w:ascii="宋体" w:hAnsi="宋体"/>
          <w:color w:val="auto"/>
          <w:szCs w:val="21"/>
        </w:rPr>
      </w:pPr>
      <w:r>
        <w:rPr>
          <w:rFonts w:hint="eastAsia" w:ascii="宋体" w:hAnsi="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8CAE898">
      <w:pPr>
        <w:tabs>
          <w:tab w:val="left" w:pos="720"/>
        </w:tabs>
        <w:spacing w:line="500" w:lineRule="exact"/>
        <w:ind w:firstLine="420" w:firstLineChars="200"/>
        <w:jc w:val="left"/>
        <w:rPr>
          <w:rFonts w:ascii="宋体"/>
          <w:color w:val="auto"/>
          <w:szCs w:val="21"/>
        </w:rPr>
      </w:pPr>
      <w:r>
        <w:rPr>
          <w:rFonts w:hint="eastAsia" w:ascii="宋体"/>
          <w:color w:val="auto"/>
          <w:szCs w:val="21"/>
        </w:rPr>
        <w:t>29.6评审意见分歧的处理办法</w:t>
      </w:r>
    </w:p>
    <w:p w14:paraId="737D7BB3">
      <w:pPr>
        <w:tabs>
          <w:tab w:val="left" w:pos="720"/>
        </w:tabs>
        <w:spacing w:line="500" w:lineRule="exact"/>
        <w:ind w:firstLine="420" w:firstLineChars="200"/>
        <w:jc w:val="left"/>
        <w:rPr>
          <w:rFonts w:ascii="宋体"/>
          <w:color w:val="auto"/>
          <w:szCs w:val="21"/>
        </w:rPr>
      </w:pPr>
      <w:r>
        <w:rPr>
          <w:rFonts w:hint="eastAsia" w:ascii="宋体"/>
          <w:color w:val="auto"/>
          <w:szCs w:val="21"/>
        </w:rPr>
        <w:t>（1）评标委员会应当对投标人提供的报告、证明材料及详细说明认真研究。对存在意见分歧的，可采用投票方式表决决定（按多数评委意见为准）；</w:t>
      </w:r>
    </w:p>
    <w:p w14:paraId="027B1FD1">
      <w:pPr>
        <w:tabs>
          <w:tab w:val="left" w:pos="720"/>
        </w:tabs>
        <w:spacing w:line="500" w:lineRule="exact"/>
        <w:ind w:firstLine="420" w:firstLineChars="200"/>
        <w:jc w:val="left"/>
        <w:rPr>
          <w:rFonts w:ascii="宋体"/>
          <w:color w:val="auto"/>
          <w:szCs w:val="21"/>
        </w:rPr>
      </w:pPr>
      <w:r>
        <w:rPr>
          <w:rFonts w:hint="eastAsia" w:ascii="宋体"/>
          <w:color w:val="auto"/>
          <w:szCs w:val="21"/>
        </w:rPr>
        <w:t>（2）招标投标当事人对评标结果提出异议或者投诉，公共资源交易监督机构认为需要重新进行评标的，评标委员会成员应当按照公共资源交易监督机构要求重新评标。</w:t>
      </w:r>
    </w:p>
    <w:p w14:paraId="761DA600">
      <w:pPr>
        <w:tabs>
          <w:tab w:val="left" w:pos="720"/>
        </w:tabs>
        <w:spacing w:line="500" w:lineRule="exact"/>
        <w:ind w:firstLine="420" w:firstLineChars="200"/>
        <w:jc w:val="left"/>
        <w:rPr>
          <w:rFonts w:ascii="宋体"/>
          <w:color w:val="auto"/>
          <w:szCs w:val="21"/>
        </w:rPr>
      </w:pPr>
      <w:r>
        <w:rPr>
          <w:rFonts w:hint="eastAsia" w:ascii="宋体"/>
          <w:color w:val="auto"/>
          <w:szCs w:val="21"/>
        </w:rPr>
        <w:t>29.7评标报告的签署</w:t>
      </w:r>
    </w:p>
    <w:p w14:paraId="29ADB630">
      <w:pPr>
        <w:tabs>
          <w:tab w:val="left" w:pos="720"/>
        </w:tabs>
        <w:spacing w:line="500" w:lineRule="exact"/>
        <w:ind w:firstLine="420" w:firstLineChars="200"/>
        <w:jc w:val="left"/>
        <w:rPr>
          <w:rFonts w:ascii="宋体"/>
          <w:color w:val="auto"/>
          <w:szCs w:val="21"/>
        </w:rPr>
      </w:pPr>
      <w:r>
        <w:rPr>
          <w:rFonts w:hint="eastAsia" w:ascii="宋体"/>
          <w:color w:val="auto"/>
          <w:szCs w:val="21"/>
        </w:rPr>
        <w:t>29.7.1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tabs>
          <w:tab w:val="left" w:pos="720"/>
        </w:tabs>
        <w:spacing w:line="500" w:lineRule="exact"/>
        <w:ind w:firstLine="420" w:firstLineChars="200"/>
        <w:jc w:val="left"/>
        <w:rPr>
          <w:rFonts w:ascii="宋体"/>
          <w:color w:val="auto"/>
          <w:szCs w:val="21"/>
        </w:rPr>
      </w:pPr>
      <w:r>
        <w:rPr>
          <w:rFonts w:hint="eastAsia" w:ascii="宋体"/>
          <w:color w:val="auto"/>
          <w:szCs w:val="21"/>
        </w:rPr>
        <w:t>29.8评标过程的保密</w:t>
      </w:r>
    </w:p>
    <w:p w14:paraId="4067CB7B">
      <w:pPr>
        <w:tabs>
          <w:tab w:val="left" w:pos="720"/>
        </w:tabs>
        <w:spacing w:line="500" w:lineRule="exact"/>
        <w:ind w:firstLine="420" w:firstLineChars="200"/>
        <w:jc w:val="left"/>
        <w:rPr>
          <w:rFonts w:ascii="宋体"/>
          <w:color w:val="auto"/>
          <w:szCs w:val="21"/>
        </w:rPr>
      </w:pPr>
      <w:r>
        <w:rPr>
          <w:rFonts w:hint="eastAsia" w:ascii="宋体"/>
          <w:color w:val="auto"/>
          <w:szCs w:val="21"/>
        </w:rPr>
        <w:t>评标委员会成员和与评标活动有关的工作人员不得透露对投标文件的评审和比较、中标人的推荐情况以及与评标有关的其他情况。</w:t>
      </w:r>
    </w:p>
    <w:p w14:paraId="42677946">
      <w:pPr>
        <w:tabs>
          <w:tab w:val="left" w:pos="720"/>
        </w:tabs>
        <w:spacing w:line="500" w:lineRule="exact"/>
        <w:ind w:firstLine="420" w:firstLineChars="200"/>
        <w:jc w:val="left"/>
        <w:rPr>
          <w:rFonts w:ascii="宋体"/>
          <w:color w:val="auto"/>
          <w:szCs w:val="21"/>
        </w:rPr>
      </w:pPr>
      <w:r>
        <w:rPr>
          <w:rFonts w:hint="eastAsia" w:ascii="宋体"/>
          <w:color w:val="auto"/>
          <w:szCs w:val="21"/>
        </w:rPr>
        <w:t>29.9评标结果公告</w:t>
      </w:r>
    </w:p>
    <w:p w14:paraId="41B5F6AE">
      <w:pPr>
        <w:spacing w:line="500" w:lineRule="exact"/>
        <w:ind w:firstLine="210" w:firstLineChars="100"/>
        <w:jc w:val="left"/>
        <w:rPr>
          <w:rFonts w:ascii="宋体" w:hAnsi="宋体" w:cs="宋体"/>
          <w:color w:val="auto"/>
          <w:szCs w:val="21"/>
        </w:rPr>
      </w:pPr>
      <w:r>
        <w:rPr>
          <w:rFonts w:hint="eastAsia" w:ascii="宋体"/>
          <w:color w:val="auto"/>
          <w:szCs w:val="21"/>
        </w:rPr>
        <w:t>招标人应将中标人的情况在滁州市兴滁矿业投资集团有限公司网站（http://www.xckytz.com/index.html）、滁州市城投工程咨询管理有限公司网站（https://www.czctgczx.com/）予以公告，公告期为3日。</w:t>
      </w:r>
      <w:r>
        <w:rPr>
          <w:rFonts w:hint="eastAsia" w:ascii="宋体" w:hAnsi="宋体" w:cs="宋体"/>
          <w:b/>
          <w:bCs/>
          <w:color w:val="auto"/>
          <w:szCs w:val="21"/>
        </w:rPr>
        <w:t xml:space="preserve">  </w:t>
      </w:r>
    </w:p>
    <w:p w14:paraId="2893B7B8">
      <w:pPr>
        <w:spacing w:line="500" w:lineRule="exact"/>
        <w:ind w:firstLine="207" w:firstLineChars="98"/>
        <w:jc w:val="left"/>
        <w:rPr>
          <w:rFonts w:ascii="宋体" w:hAnsi="宋体" w:cs="宋体"/>
          <w:b/>
          <w:color w:val="auto"/>
          <w:szCs w:val="21"/>
        </w:rPr>
      </w:pPr>
      <w:r>
        <w:rPr>
          <w:rFonts w:hint="eastAsia" w:ascii="宋体" w:hAnsi="宋体" w:cs="宋体"/>
          <w:b/>
          <w:color w:val="auto"/>
          <w:szCs w:val="21"/>
        </w:rPr>
        <w:t>30. 定标</w:t>
      </w:r>
    </w:p>
    <w:p w14:paraId="656E47C5">
      <w:pPr>
        <w:spacing w:line="500" w:lineRule="exact"/>
        <w:jc w:val="left"/>
        <w:rPr>
          <w:rFonts w:ascii="宋体" w:hAnsi="宋体" w:cs="宋体"/>
          <w:color w:val="auto"/>
          <w:szCs w:val="21"/>
        </w:rPr>
      </w:pPr>
      <w:r>
        <w:rPr>
          <w:rFonts w:hint="eastAsia" w:ascii="宋体" w:hAnsi="宋体" w:cs="宋体"/>
          <w:color w:val="auto"/>
          <w:szCs w:val="21"/>
        </w:rPr>
        <w:t xml:space="preserve">    30.1 中标人的确定</w:t>
      </w:r>
    </w:p>
    <w:p w14:paraId="14E6A893">
      <w:pPr>
        <w:spacing w:line="500" w:lineRule="exact"/>
        <w:ind w:firstLine="420" w:firstLineChars="200"/>
        <w:rPr>
          <w:rFonts w:ascii="宋体" w:hAnsi="宋体" w:cs="宋体"/>
          <w:color w:val="auto"/>
          <w:szCs w:val="21"/>
        </w:rPr>
      </w:pPr>
      <w:r>
        <w:rPr>
          <w:rFonts w:hint="eastAsia" w:ascii="宋体" w:hAnsi="宋体" w:cs="宋体"/>
          <w:color w:val="auto"/>
          <w:szCs w:val="21"/>
        </w:rPr>
        <w:t>30.1.1除投标人须知前附表规定评标委员会直接确定中标人外，招标人依据评标委员会推荐的第一中标候选人确定为中标人，评标委员会推荐中标候选人的人数见投标人须知前附表。</w:t>
      </w:r>
    </w:p>
    <w:p w14:paraId="7C485893">
      <w:pPr>
        <w:spacing w:line="500" w:lineRule="exact"/>
        <w:ind w:firstLine="420" w:firstLineChars="200"/>
        <w:rPr>
          <w:rFonts w:ascii="宋体" w:hAnsi="宋体" w:cs="宋体"/>
          <w:color w:val="auto"/>
          <w:szCs w:val="21"/>
        </w:rPr>
      </w:pPr>
      <w:r>
        <w:rPr>
          <w:rFonts w:hint="eastAsia" w:ascii="宋体" w:hAnsi="宋体" w:cs="宋体"/>
          <w:color w:val="auto"/>
          <w:szCs w:val="21"/>
        </w:rPr>
        <w:t>30.2 中标通知书</w:t>
      </w:r>
    </w:p>
    <w:p w14:paraId="0BA81D80">
      <w:pPr>
        <w:spacing w:line="500" w:lineRule="exact"/>
        <w:ind w:firstLine="420" w:firstLineChars="200"/>
        <w:rPr>
          <w:rFonts w:ascii="宋体" w:hAnsi="宋体" w:cs="宋体"/>
          <w:color w:val="auto"/>
          <w:szCs w:val="21"/>
        </w:rPr>
      </w:pPr>
      <w:r>
        <w:rPr>
          <w:rFonts w:hint="eastAsia" w:ascii="宋体" w:hAnsi="宋体" w:cs="宋体"/>
          <w:color w:val="auto"/>
          <w:szCs w:val="21"/>
        </w:rPr>
        <w:t>30.2.1招标人或采购代理机构应在中标人确定之日起2个工作日内，向中标人发出中标通知书。</w:t>
      </w:r>
    </w:p>
    <w:p w14:paraId="429CF213">
      <w:pPr>
        <w:spacing w:line="500" w:lineRule="exact"/>
        <w:ind w:firstLine="420" w:firstLineChars="200"/>
        <w:rPr>
          <w:rFonts w:ascii="宋体" w:hAnsi="宋体" w:cs="宋体"/>
          <w:color w:val="auto"/>
          <w:szCs w:val="21"/>
        </w:rPr>
      </w:pPr>
      <w:r>
        <w:rPr>
          <w:rFonts w:hint="eastAsia" w:ascii="宋体" w:hAnsi="宋体" w:cs="宋体"/>
          <w:color w:val="auto"/>
          <w:szCs w:val="21"/>
        </w:rPr>
        <w:t>30.2.2中标通知书须加盖招标人、采购代理机构公章后，方可发出。</w:t>
      </w:r>
    </w:p>
    <w:p w14:paraId="37CE5548">
      <w:pPr>
        <w:spacing w:line="500" w:lineRule="exact"/>
        <w:ind w:firstLine="207" w:firstLineChars="98"/>
        <w:jc w:val="left"/>
        <w:rPr>
          <w:rFonts w:ascii="宋体" w:hAnsi="宋体" w:cs="宋体"/>
          <w:b/>
          <w:color w:val="auto"/>
          <w:szCs w:val="21"/>
        </w:rPr>
      </w:pPr>
      <w:r>
        <w:rPr>
          <w:rFonts w:hint="eastAsia" w:ascii="宋体" w:hAnsi="宋体" w:cs="宋体"/>
          <w:b/>
          <w:color w:val="auto"/>
          <w:szCs w:val="21"/>
        </w:rPr>
        <w:t>31. 开评标异常情况处理</w:t>
      </w:r>
    </w:p>
    <w:p w14:paraId="0348926A">
      <w:pPr>
        <w:adjustRightInd w:val="0"/>
        <w:snapToGrid w:val="0"/>
        <w:spacing w:line="500" w:lineRule="exact"/>
        <w:ind w:firstLine="420" w:firstLineChars="200"/>
        <w:rPr>
          <w:rFonts w:ascii="宋体" w:hAnsi="宋体" w:cs="宋体"/>
          <w:color w:val="auto"/>
          <w:kern w:val="10"/>
          <w:szCs w:val="21"/>
        </w:rPr>
      </w:pPr>
      <w:r>
        <w:rPr>
          <w:rFonts w:hint="eastAsia" w:ascii="宋体" w:hAnsi="宋体" w:cs="宋体"/>
          <w:color w:val="auto"/>
          <w:kern w:val="10"/>
          <w:szCs w:val="21"/>
        </w:rPr>
        <w:t>31.1废标（重新招标）</w:t>
      </w:r>
    </w:p>
    <w:p w14:paraId="45A4E481">
      <w:pPr>
        <w:adjustRightInd w:val="0"/>
        <w:snapToGrid w:val="0"/>
        <w:spacing w:line="500" w:lineRule="exact"/>
        <w:ind w:firstLine="420" w:firstLineChars="200"/>
        <w:rPr>
          <w:rFonts w:ascii="宋体" w:hAnsi="宋体" w:cs="宋体"/>
          <w:color w:val="auto"/>
          <w:kern w:val="10"/>
          <w:szCs w:val="21"/>
        </w:rPr>
      </w:pPr>
      <w:r>
        <w:rPr>
          <w:rFonts w:hint="eastAsia" w:ascii="宋体" w:hAnsi="宋体" w:cs="宋体"/>
          <w:color w:val="auto"/>
          <w:kern w:val="10"/>
          <w:szCs w:val="21"/>
        </w:rPr>
        <w:t>有下列情形之一的，招标人将废标（重新招标）：</w:t>
      </w:r>
    </w:p>
    <w:p w14:paraId="2B4A84D2">
      <w:pPr>
        <w:adjustRightInd w:val="0"/>
        <w:snapToGrid w:val="0"/>
        <w:spacing w:line="500" w:lineRule="exact"/>
        <w:ind w:firstLine="420" w:firstLineChars="200"/>
        <w:rPr>
          <w:rFonts w:ascii="宋体" w:hAnsi="宋体" w:cs="宋体"/>
          <w:color w:val="auto"/>
          <w:kern w:val="10"/>
          <w:szCs w:val="21"/>
        </w:rPr>
      </w:pPr>
      <w:r>
        <w:rPr>
          <w:rFonts w:hint="eastAsia" w:ascii="宋体" w:hAnsi="宋体" w:cs="宋体"/>
          <w:color w:val="auto"/>
          <w:kern w:val="10"/>
          <w:szCs w:val="21"/>
        </w:rPr>
        <w:t>(1) 出现影响采购公正的违法、违规行为的；</w:t>
      </w:r>
    </w:p>
    <w:p w14:paraId="5E083CCE">
      <w:pPr>
        <w:adjustRightInd w:val="0"/>
        <w:snapToGrid w:val="0"/>
        <w:spacing w:line="500" w:lineRule="exact"/>
        <w:ind w:firstLine="420" w:firstLineChars="200"/>
        <w:rPr>
          <w:rFonts w:ascii="宋体" w:hAnsi="宋体" w:cs="宋体"/>
          <w:color w:val="auto"/>
          <w:kern w:val="10"/>
          <w:szCs w:val="21"/>
        </w:rPr>
      </w:pPr>
      <w:r>
        <w:rPr>
          <w:rFonts w:hint="eastAsia" w:ascii="宋体" w:hAnsi="宋体" w:cs="宋体"/>
          <w:color w:val="auto"/>
          <w:kern w:val="10"/>
          <w:szCs w:val="21"/>
        </w:rPr>
        <w:t>(2)投标人的报价均脱离实际且无充分证据的；</w:t>
      </w:r>
    </w:p>
    <w:p w14:paraId="3C00AD82">
      <w:pPr>
        <w:adjustRightInd w:val="0"/>
        <w:snapToGrid w:val="0"/>
        <w:spacing w:line="500" w:lineRule="exact"/>
        <w:ind w:firstLine="420" w:firstLineChars="200"/>
        <w:rPr>
          <w:rFonts w:ascii="宋体" w:hAnsi="宋体" w:cs="宋体"/>
          <w:color w:val="auto"/>
          <w:kern w:val="10"/>
          <w:szCs w:val="21"/>
        </w:rPr>
      </w:pPr>
      <w:r>
        <w:rPr>
          <w:rFonts w:hint="eastAsia" w:ascii="宋体" w:hAnsi="宋体" w:cs="宋体"/>
          <w:color w:val="auto"/>
          <w:kern w:val="10"/>
          <w:szCs w:val="21"/>
        </w:rPr>
        <w:t>(3)因重大变故，采购任务取消的。</w:t>
      </w:r>
    </w:p>
    <w:p w14:paraId="7438AA4B">
      <w:pPr>
        <w:adjustRightInd w:val="0"/>
        <w:snapToGrid w:val="0"/>
        <w:spacing w:line="500" w:lineRule="exact"/>
        <w:ind w:firstLine="420" w:firstLineChars="200"/>
        <w:rPr>
          <w:rFonts w:ascii="宋体" w:hAnsi="宋体" w:cs="宋体"/>
          <w:color w:val="auto"/>
          <w:kern w:val="10"/>
          <w:szCs w:val="21"/>
        </w:rPr>
      </w:pPr>
      <w:r>
        <w:rPr>
          <w:rFonts w:hint="eastAsia" w:ascii="宋体" w:hAnsi="宋体" w:cs="宋体"/>
          <w:color w:val="auto"/>
          <w:kern w:val="10"/>
          <w:szCs w:val="21"/>
        </w:rPr>
        <w:t>31.2变更采购方式</w:t>
      </w:r>
    </w:p>
    <w:p w14:paraId="68D6B96A">
      <w:pPr>
        <w:adjustRightInd w:val="0"/>
        <w:snapToGrid w:val="0"/>
        <w:spacing w:line="500" w:lineRule="exact"/>
        <w:ind w:firstLine="420" w:firstLineChars="200"/>
        <w:rPr>
          <w:rFonts w:ascii="宋体" w:hAnsi="宋体" w:cs="宋体"/>
          <w:color w:val="auto"/>
          <w:kern w:val="10"/>
          <w:szCs w:val="21"/>
        </w:rPr>
      </w:pPr>
      <w:bookmarkStart w:id="45" w:name="_Toc449028872"/>
      <w:r>
        <w:rPr>
          <w:rFonts w:hint="eastAsia" w:ascii="宋体" w:hAnsi="宋体" w:cs="宋体"/>
          <w:color w:val="auto"/>
          <w:kern w:val="10"/>
          <w:szCs w:val="21"/>
        </w:rPr>
        <w:t>按照相关规定执行。</w:t>
      </w:r>
      <w:bookmarkEnd w:id="45"/>
      <w:bookmarkStart w:id="46" w:name="_Toc449028873"/>
    </w:p>
    <w:p w14:paraId="4168FF84">
      <w:pPr>
        <w:spacing w:before="93" w:beforeLines="30" w:after="93" w:afterLines="30" w:line="500" w:lineRule="exact"/>
        <w:jc w:val="center"/>
        <w:rPr>
          <w:rFonts w:ascii="宋体" w:hAnsi="宋体" w:cs="宋体"/>
          <w:b/>
          <w:color w:val="auto"/>
          <w:sz w:val="28"/>
          <w:szCs w:val="28"/>
        </w:rPr>
      </w:pPr>
      <w:r>
        <w:rPr>
          <w:rFonts w:hint="eastAsia" w:ascii="宋体" w:hAnsi="宋体" w:cs="宋体"/>
          <w:b/>
          <w:color w:val="auto"/>
          <w:sz w:val="28"/>
          <w:szCs w:val="28"/>
        </w:rPr>
        <w:t>（六）合同的授予</w:t>
      </w:r>
      <w:bookmarkEnd w:id="46"/>
    </w:p>
    <w:p w14:paraId="57DDED54">
      <w:pPr>
        <w:spacing w:line="500" w:lineRule="exact"/>
        <w:ind w:firstLine="521" w:firstLineChars="247"/>
        <w:jc w:val="left"/>
        <w:rPr>
          <w:rFonts w:ascii="宋体" w:hAnsi="宋体" w:cs="宋体"/>
          <w:b/>
          <w:color w:val="auto"/>
          <w:szCs w:val="21"/>
        </w:rPr>
      </w:pPr>
      <w:r>
        <w:rPr>
          <w:rFonts w:hint="eastAsia" w:ascii="宋体" w:hAnsi="宋体" w:cs="宋体"/>
          <w:b/>
          <w:color w:val="auto"/>
          <w:szCs w:val="21"/>
        </w:rPr>
        <w:t>32. 合同授予标准</w:t>
      </w:r>
    </w:p>
    <w:p w14:paraId="05481F39">
      <w:pPr>
        <w:spacing w:line="500" w:lineRule="exact"/>
        <w:ind w:firstLine="525" w:firstLineChars="250"/>
        <w:jc w:val="left"/>
        <w:rPr>
          <w:rFonts w:ascii="宋体" w:hAnsi="宋体" w:cs="宋体"/>
          <w:color w:val="auto"/>
          <w:szCs w:val="21"/>
        </w:rPr>
      </w:pPr>
      <w:r>
        <w:rPr>
          <w:rFonts w:hint="eastAsia" w:ascii="宋体" w:hAnsi="宋体" w:cs="宋体"/>
          <w:color w:val="auto"/>
          <w:szCs w:val="21"/>
        </w:rPr>
        <w:t xml:space="preserve">32.1 本招标项目的合同将授予按本投标须知第30条规定所确定的中标人。 </w:t>
      </w:r>
    </w:p>
    <w:p w14:paraId="18539A6E">
      <w:pPr>
        <w:spacing w:line="500" w:lineRule="exact"/>
        <w:ind w:firstLine="521" w:firstLineChars="247"/>
        <w:jc w:val="left"/>
        <w:rPr>
          <w:rFonts w:ascii="宋体" w:hAnsi="宋体" w:cs="宋体"/>
          <w:b/>
          <w:color w:val="auto"/>
          <w:szCs w:val="21"/>
        </w:rPr>
      </w:pPr>
      <w:r>
        <w:rPr>
          <w:rFonts w:hint="eastAsia" w:ascii="宋体" w:hAnsi="宋体" w:cs="宋体"/>
          <w:b/>
          <w:color w:val="auto"/>
          <w:szCs w:val="21"/>
        </w:rPr>
        <w:t>33. 合同协议书的签订</w:t>
      </w:r>
    </w:p>
    <w:p w14:paraId="0D2F171D">
      <w:pPr>
        <w:spacing w:line="500" w:lineRule="exact"/>
        <w:ind w:firstLine="525" w:firstLineChars="250"/>
        <w:jc w:val="left"/>
        <w:rPr>
          <w:rFonts w:ascii="宋体" w:hAnsi="宋体" w:cs="宋体"/>
          <w:color w:val="auto"/>
          <w:szCs w:val="21"/>
        </w:rPr>
      </w:pPr>
      <w:r>
        <w:rPr>
          <w:rFonts w:hint="eastAsia" w:ascii="宋体" w:hAnsi="宋体" w:cs="宋体"/>
          <w:color w:val="auto"/>
          <w:szCs w:val="21"/>
        </w:rPr>
        <w:t>33.1招标人与中标人将于中标通知书发出之日起30个日历天内，按照招标文件和中标人的投标文件订立书面采购合同。招标人和中标人不得再行订立背离合同实质性内容的其他协议。</w:t>
      </w:r>
    </w:p>
    <w:p w14:paraId="3486D175">
      <w:pPr>
        <w:spacing w:line="500" w:lineRule="exact"/>
        <w:ind w:firstLine="525" w:firstLineChars="250"/>
        <w:jc w:val="left"/>
        <w:rPr>
          <w:rFonts w:ascii="宋体" w:hAnsi="宋体" w:cs="宋体"/>
          <w:color w:val="auto"/>
          <w:szCs w:val="21"/>
        </w:rPr>
      </w:pPr>
      <w:r>
        <w:rPr>
          <w:rFonts w:hint="eastAsia" w:ascii="宋体" w:hAnsi="宋体" w:cs="宋体"/>
          <w:color w:val="auto"/>
          <w:szCs w:val="21"/>
        </w:rPr>
        <w:t>33.2 招标人如不按本投标须知第30条的规定与中标人订立合同，或者招标人、中标人订立背离合同实质性内容的协议，给他人造成损失的，依法承担民事责任，同时依法承担相应法律责任。</w:t>
      </w:r>
    </w:p>
    <w:p w14:paraId="0389EBB8">
      <w:pPr>
        <w:spacing w:line="500" w:lineRule="exact"/>
        <w:ind w:firstLine="525" w:firstLineChars="250"/>
        <w:jc w:val="left"/>
        <w:rPr>
          <w:rFonts w:ascii="宋体" w:hAnsi="宋体" w:cs="宋体"/>
          <w:color w:val="auto"/>
          <w:szCs w:val="21"/>
        </w:rPr>
      </w:pPr>
      <w:r>
        <w:rPr>
          <w:rFonts w:hint="eastAsia" w:ascii="宋体" w:hAnsi="宋体" w:cs="宋体"/>
          <w:color w:val="auto"/>
          <w:szCs w:val="21"/>
        </w:rPr>
        <w:t>33.3中标人如不按本投标须知第30条的规定与招标人订立合同，依法承担民事责任，同时依法承担相应法律责任。</w:t>
      </w:r>
    </w:p>
    <w:p w14:paraId="43E9CC35">
      <w:pPr>
        <w:spacing w:line="500" w:lineRule="exact"/>
        <w:ind w:firstLine="525" w:firstLineChars="250"/>
        <w:jc w:val="left"/>
        <w:rPr>
          <w:rFonts w:ascii="宋体" w:hAnsi="宋体" w:cs="宋体"/>
          <w:color w:val="auto"/>
          <w:szCs w:val="21"/>
        </w:rPr>
      </w:pPr>
      <w:r>
        <w:rPr>
          <w:rFonts w:hint="eastAsia" w:ascii="宋体" w:hAnsi="宋体" w:cs="宋体"/>
          <w:color w:val="auto"/>
          <w:szCs w:val="21"/>
        </w:rPr>
        <w:t>33.4中标人应当按照合同约定履行义务，完成中标项目，不得将中标项目转让（转包）给他人。</w:t>
      </w:r>
    </w:p>
    <w:p w14:paraId="252D67BE">
      <w:pPr>
        <w:spacing w:line="500" w:lineRule="exact"/>
        <w:rPr>
          <w:rFonts w:ascii="宋体" w:hAnsi="宋体" w:cs="宋体"/>
          <w:b/>
          <w:color w:val="auto"/>
          <w:szCs w:val="21"/>
        </w:rPr>
      </w:pPr>
      <w:r>
        <w:rPr>
          <w:rFonts w:hint="eastAsia" w:ascii="宋体" w:hAnsi="宋体" w:cs="宋体"/>
          <w:color w:val="auto"/>
          <w:szCs w:val="21"/>
        </w:rPr>
        <w:t xml:space="preserve">    34.</w:t>
      </w:r>
      <w:bookmarkStart w:id="47" w:name="_Toc217446068"/>
      <w:r>
        <w:rPr>
          <w:rFonts w:hint="eastAsia" w:ascii="宋体" w:hAnsi="宋体" w:cs="宋体"/>
          <w:color w:val="auto"/>
          <w:szCs w:val="21"/>
        </w:rPr>
        <w:t xml:space="preserve"> </w:t>
      </w:r>
      <w:r>
        <w:rPr>
          <w:rFonts w:hint="eastAsia" w:ascii="宋体" w:hAnsi="宋体" w:cs="宋体"/>
          <w:b/>
          <w:color w:val="auto"/>
          <w:szCs w:val="21"/>
        </w:rPr>
        <w:t>履约保证金</w:t>
      </w:r>
      <w:bookmarkEnd w:id="47"/>
    </w:p>
    <w:p w14:paraId="63A4609A">
      <w:pPr>
        <w:spacing w:line="500" w:lineRule="exact"/>
        <w:ind w:firstLine="420" w:firstLineChars="200"/>
        <w:rPr>
          <w:rFonts w:ascii="宋体" w:hAnsi="宋体" w:cs="宋体"/>
          <w:color w:val="auto"/>
          <w:szCs w:val="21"/>
        </w:rPr>
      </w:pPr>
      <w:r>
        <w:rPr>
          <w:rFonts w:hint="eastAsia" w:ascii="宋体" w:hAnsi="宋体" w:cs="宋体"/>
          <w:color w:val="auto"/>
          <w:szCs w:val="21"/>
        </w:rPr>
        <w:t>34.1在签订合同前，中标人应按投标人须知前附表规定的担保形式、金额和招标文件第五章“合同条款及格式”规定的或者事先经过招标人书面认可的履约担保格式向招标人提交履约担保。</w:t>
      </w:r>
    </w:p>
    <w:p w14:paraId="4DC61C21">
      <w:pPr>
        <w:spacing w:line="500" w:lineRule="exact"/>
        <w:ind w:firstLine="420" w:firstLineChars="200"/>
        <w:rPr>
          <w:rFonts w:ascii="宋体" w:hAnsi="宋体" w:cs="宋体"/>
          <w:color w:val="auto"/>
          <w:szCs w:val="21"/>
        </w:rPr>
      </w:pPr>
      <w:r>
        <w:rPr>
          <w:rFonts w:hint="eastAsia" w:ascii="宋体" w:hAnsi="宋体" w:cs="宋体"/>
          <w:color w:val="auto"/>
          <w:szCs w:val="21"/>
        </w:rPr>
        <w:t>34.2 中标人不能按本章第34.1款要求提交履约担保的，视为放弃中标，</w:t>
      </w:r>
      <w:r>
        <w:rPr>
          <w:rFonts w:hint="eastAsia" w:ascii="宋体" w:hAnsi="宋体" w:cs="宋体"/>
          <w:color w:val="auto"/>
          <w:szCs w:val="21"/>
          <w:shd w:val="clear" w:color="auto" w:fill="FFFFFF"/>
        </w:rPr>
        <w:t>给招标人造成损失的，依法承担民事责任</w:t>
      </w:r>
      <w:r>
        <w:rPr>
          <w:rFonts w:hint="eastAsia" w:ascii="宋体" w:hAnsi="宋体" w:cs="宋体"/>
          <w:color w:val="auto"/>
          <w:szCs w:val="21"/>
        </w:rPr>
        <w:t>。</w:t>
      </w:r>
    </w:p>
    <w:p w14:paraId="38E9C6F9">
      <w:pPr>
        <w:spacing w:before="93" w:beforeLines="30" w:after="93" w:afterLines="30" w:line="500" w:lineRule="exact"/>
        <w:jc w:val="center"/>
        <w:rPr>
          <w:rFonts w:ascii="宋体" w:hAnsi="宋体" w:cs="宋体"/>
          <w:b/>
          <w:color w:val="auto"/>
          <w:sz w:val="28"/>
          <w:szCs w:val="28"/>
        </w:rPr>
      </w:pPr>
      <w:bookmarkStart w:id="48" w:name="_Toc449028874"/>
      <w:r>
        <w:rPr>
          <w:rFonts w:hint="eastAsia" w:ascii="宋体" w:hAnsi="宋体" w:cs="宋体"/>
          <w:b/>
          <w:color w:val="auto"/>
          <w:sz w:val="28"/>
          <w:szCs w:val="28"/>
        </w:rPr>
        <w:t>（七）纪律和监督</w:t>
      </w:r>
      <w:bookmarkEnd w:id="48"/>
    </w:p>
    <w:p w14:paraId="26553498">
      <w:pPr>
        <w:spacing w:line="500" w:lineRule="exact"/>
        <w:ind w:firstLine="310" w:firstLineChars="147"/>
        <w:jc w:val="left"/>
        <w:rPr>
          <w:rFonts w:ascii="宋体" w:hAnsi="宋体" w:cs="宋体"/>
          <w:b/>
          <w:color w:val="auto"/>
          <w:szCs w:val="21"/>
        </w:rPr>
      </w:pPr>
      <w:r>
        <w:rPr>
          <w:rFonts w:hint="eastAsia" w:ascii="宋体" w:hAnsi="宋体" w:cs="宋体"/>
          <w:b/>
          <w:color w:val="auto"/>
          <w:szCs w:val="21"/>
        </w:rPr>
        <w:t xml:space="preserve">35. 对招标人的纪律要求 </w:t>
      </w:r>
    </w:p>
    <w:p w14:paraId="05EEEA0D">
      <w:pPr>
        <w:adjustRightInd w:val="0"/>
        <w:snapToGrid w:val="0"/>
        <w:spacing w:line="500" w:lineRule="exact"/>
        <w:ind w:firstLine="315" w:firstLineChars="150"/>
        <w:rPr>
          <w:rFonts w:ascii="宋体" w:hAnsi="宋体" w:cs="宋体"/>
          <w:color w:val="auto"/>
          <w:kern w:val="10"/>
          <w:szCs w:val="21"/>
        </w:rPr>
      </w:pPr>
      <w:r>
        <w:rPr>
          <w:rFonts w:hint="eastAsia" w:ascii="宋体" w:hAnsi="宋体" w:cs="宋体"/>
          <w:color w:val="auto"/>
          <w:kern w:val="10"/>
          <w:szCs w:val="21"/>
        </w:rPr>
        <w:t xml:space="preserve">35.1招标人不得泄漏招标投标活动中应当保密的情况和资料，不得与投标人串通损害国家利益，社会公共利益或者他人合法权益。 </w:t>
      </w:r>
    </w:p>
    <w:p w14:paraId="7B232892">
      <w:pPr>
        <w:spacing w:line="500" w:lineRule="exact"/>
        <w:ind w:firstLine="310" w:firstLineChars="147"/>
        <w:jc w:val="left"/>
        <w:rPr>
          <w:rFonts w:ascii="宋体" w:hAnsi="宋体" w:cs="宋体"/>
          <w:b/>
          <w:color w:val="auto"/>
          <w:szCs w:val="21"/>
        </w:rPr>
      </w:pPr>
      <w:r>
        <w:rPr>
          <w:rFonts w:hint="eastAsia" w:ascii="宋体" w:hAnsi="宋体" w:cs="宋体"/>
          <w:b/>
          <w:color w:val="auto"/>
          <w:szCs w:val="21"/>
        </w:rPr>
        <w:t xml:space="preserve">36. 对投标人的纪律要求 </w:t>
      </w:r>
    </w:p>
    <w:p w14:paraId="3090510F">
      <w:pPr>
        <w:adjustRightInd w:val="0"/>
        <w:snapToGrid w:val="0"/>
        <w:spacing w:line="500" w:lineRule="exact"/>
        <w:ind w:firstLine="315" w:firstLineChars="150"/>
        <w:rPr>
          <w:rFonts w:ascii="宋体" w:hAnsi="宋体" w:cs="宋体"/>
          <w:color w:val="auto"/>
          <w:kern w:val="10"/>
          <w:szCs w:val="21"/>
        </w:rPr>
      </w:pPr>
      <w:r>
        <w:rPr>
          <w:rFonts w:hint="eastAsia" w:ascii="宋体" w:hAnsi="宋体" w:cs="宋体"/>
          <w:color w:val="auto"/>
          <w:kern w:val="10"/>
          <w:szCs w:val="21"/>
        </w:rPr>
        <w:t>36.1投标人不得相互串通投标或者与招标人串通投标，不得向招标人或者评标委员会成员行贿谋取中标，不得以他人名义投标或者以其他方式弄虚作假骗取中标；投标人不得以任何方式干扰、影响评标工作。</w:t>
      </w:r>
    </w:p>
    <w:p w14:paraId="46E99431">
      <w:pPr>
        <w:spacing w:line="500" w:lineRule="exact"/>
        <w:ind w:firstLine="310" w:firstLineChars="147"/>
        <w:jc w:val="left"/>
        <w:rPr>
          <w:rFonts w:ascii="宋体" w:hAnsi="宋体" w:cs="宋体"/>
          <w:b/>
          <w:color w:val="auto"/>
          <w:szCs w:val="21"/>
        </w:rPr>
      </w:pPr>
      <w:r>
        <w:rPr>
          <w:rFonts w:hint="eastAsia" w:ascii="宋体" w:hAnsi="宋体" w:cs="宋体"/>
          <w:b/>
          <w:color w:val="auto"/>
          <w:szCs w:val="21"/>
        </w:rPr>
        <w:t xml:space="preserve">37. 对评标委员会成员的纪律要求 </w:t>
      </w:r>
    </w:p>
    <w:p w14:paraId="65471E57">
      <w:pPr>
        <w:adjustRightInd w:val="0"/>
        <w:snapToGrid w:val="0"/>
        <w:spacing w:line="500" w:lineRule="exact"/>
        <w:ind w:firstLine="315" w:firstLineChars="150"/>
        <w:rPr>
          <w:rFonts w:ascii="宋体" w:hAnsi="宋体" w:cs="宋体"/>
          <w:color w:val="auto"/>
          <w:kern w:val="10"/>
          <w:szCs w:val="21"/>
        </w:rPr>
      </w:pPr>
      <w:r>
        <w:rPr>
          <w:rFonts w:hint="eastAsia" w:ascii="宋体" w:hAnsi="宋体" w:cs="宋体"/>
          <w:color w:val="auto"/>
          <w:kern w:val="10"/>
          <w:szCs w:val="21"/>
        </w:rPr>
        <w:t>37.1评标委员会成员不得收受他人的财物或者其他好处，不得向他人透漏对投标文件的评审和比较、中标候选人的推荐情况以及评标有关的其他情况。</w:t>
      </w:r>
    </w:p>
    <w:p w14:paraId="3EE85A00">
      <w:pPr>
        <w:adjustRightInd w:val="0"/>
        <w:snapToGrid w:val="0"/>
        <w:spacing w:line="500" w:lineRule="exact"/>
        <w:ind w:firstLine="315" w:firstLineChars="150"/>
        <w:rPr>
          <w:rFonts w:ascii="宋体" w:hAnsi="宋体" w:cs="宋体"/>
          <w:color w:val="auto"/>
          <w:kern w:val="10"/>
          <w:szCs w:val="21"/>
        </w:rPr>
      </w:pPr>
      <w:r>
        <w:rPr>
          <w:rFonts w:hint="eastAsia" w:ascii="宋体" w:hAnsi="宋体" w:cs="宋体"/>
          <w:color w:val="auto"/>
          <w:kern w:val="10"/>
          <w:szCs w:val="21"/>
        </w:rPr>
        <w:t xml:space="preserve">37.2在评标活动中，评标委员会成员不得擅离职守，影响评标程序正常进行，不得使用第三章“评标办法”没有规定的评审因素和标准进行评标。 </w:t>
      </w:r>
    </w:p>
    <w:p w14:paraId="684E0BD7">
      <w:pPr>
        <w:spacing w:line="500" w:lineRule="exact"/>
        <w:ind w:firstLine="310" w:firstLineChars="147"/>
        <w:jc w:val="left"/>
        <w:rPr>
          <w:rFonts w:ascii="宋体" w:hAnsi="宋体" w:cs="宋体"/>
          <w:b/>
          <w:color w:val="auto"/>
          <w:szCs w:val="21"/>
        </w:rPr>
      </w:pPr>
      <w:r>
        <w:rPr>
          <w:rFonts w:hint="eastAsia" w:ascii="宋体" w:hAnsi="宋体" w:cs="宋体"/>
          <w:b/>
          <w:color w:val="auto"/>
          <w:szCs w:val="21"/>
        </w:rPr>
        <w:t xml:space="preserve">38. 对与评标活动有关的工作人员的纪律要求 </w:t>
      </w:r>
    </w:p>
    <w:p w14:paraId="31F13EA7">
      <w:pPr>
        <w:adjustRightInd w:val="0"/>
        <w:snapToGrid w:val="0"/>
        <w:spacing w:line="500" w:lineRule="exact"/>
        <w:ind w:firstLine="315" w:firstLineChars="150"/>
        <w:rPr>
          <w:rFonts w:ascii="宋体" w:hAnsi="宋体" w:cs="宋体"/>
          <w:color w:val="auto"/>
          <w:kern w:val="10"/>
          <w:szCs w:val="21"/>
        </w:rPr>
      </w:pPr>
      <w:r>
        <w:rPr>
          <w:rFonts w:hint="eastAsia" w:ascii="宋体" w:hAnsi="宋体" w:cs="宋体"/>
          <w:color w:val="auto"/>
          <w:kern w:val="10"/>
          <w:szCs w:val="21"/>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5A25735">
      <w:pPr>
        <w:spacing w:before="93" w:beforeLines="30" w:after="93" w:afterLines="30" w:line="500" w:lineRule="exact"/>
        <w:jc w:val="center"/>
        <w:rPr>
          <w:rFonts w:ascii="宋体" w:hAnsi="宋体" w:cs="宋体"/>
          <w:b/>
          <w:color w:val="auto"/>
          <w:sz w:val="28"/>
          <w:szCs w:val="28"/>
        </w:rPr>
      </w:pPr>
      <w:bookmarkStart w:id="49" w:name="_Toc449028875"/>
      <w:r>
        <w:rPr>
          <w:rFonts w:hint="eastAsia" w:ascii="宋体" w:hAnsi="宋体" w:cs="宋体"/>
          <w:b/>
          <w:color w:val="auto"/>
          <w:sz w:val="28"/>
          <w:szCs w:val="28"/>
        </w:rPr>
        <w:t>（八）质疑与投诉</w:t>
      </w:r>
      <w:bookmarkEnd w:id="49"/>
    </w:p>
    <w:p w14:paraId="77D3D939">
      <w:pPr>
        <w:spacing w:line="500" w:lineRule="exact"/>
        <w:ind w:firstLine="314" w:firstLineChars="149"/>
        <w:jc w:val="left"/>
        <w:rPr>
          <w:rFonts w:ascii="宋体" w:hAnsi="宋体"/>
          <w:b/>
          <w:color w:val="auto"/>
          <w:szCs w:val="21"/>
        </w:rPr>
      </w:pPr>
      <w:r>
        <w:rPr>
          <w:rFonts w:hint="eastAsia" w:ascii="宋体" w:hAnsi="宋体"/>
          <w:b/>
          <w:color w:val="auto"/>
          <w:szCs w:val="21"/>
        </w:rPr>
        <w:t>39. 投诉</w:t>
      </w:r>
    </w:p>
    <w:p w14:paraId="7B2D3B5F">
      <w:pPr>
        <w:adjustRightInd w:val="0"/>
        <w:snapToGrid w:val="0"/>
        <w:spacing w:line="500" w:lineRule="exact"/>
        <w:ind w:firstLine="315" w:firstLineChars="150"/>
        <w:rPr>
          <w:rFonts w:ascii="宋体" w:hAnsi="宋体" w:cs="宋体"/>
          <w:color w:val="auto"/>
          <w:kern w:val="10"/>
          <w:szCs w:val="21"/>
        </w:rPr>
      </w:pPr>
      <w:r>
        <w:rPr>
          <w:rFonts w:hint="eastAsia" w:ascii="宋体" w:hAnsi="宋体" w:cs="宋体"/>
          <w:color w:val="auto"/>
          <w:kern w:val="10"/>
          <w:szCs w:val="21"/>
        </w:rPr>
        <w:t>39.1投标人或者其他利害关系人认为招标投标活动违反法律、法规和规章规定的，有权向相关行政监督部门投诉。投诉应当有明确的请求和必要的证明材料。</w:t>
      </w:r>
    </w:p>
    <w:p w14:paraId="7ABED198">
      <w:pPr>
        <w:adjustRightInd w:val="0"/>
        <w:snapToGrid w:val="0"/>
        <w:spacing w:line="500" w:lineRule="exact"/>
        <w:ind w:firstLine="315" w:firstLineChars="150"/>
        <w:rPr>
          <w:rFonts w:ascii="宋体" w:hAnsi="宋体" w:cs="宋体"/>
          <w:color w:val="auto"/>
          <w:kern w:val="10"/>
          <w:szCs w:val="21"/>
        </w:rPr>
      </w:pPr>
      <w:r>
        <w:rPr>
          <w:rFonts w:hint="eastAsia" w:ascii="宋体" w:hAnsi="宋体" w:cs="宋体"/>
          <w:color w:val="auto"/>
          <w:kern w:val="10"/>
          <w:szCs w:val="21"/>
        </w:rPr>
        <w:t>39.2投标人和其他利害关系人对招标文件、开标和评标结果事项投诉的，应当按照投标人须知的规定先向招标人提出异议。</w:t>
      </w:r>
      <w:bookmarkStart w:id="50" w:name="_Toc58430316"/>
    </w:p>
    <w:p w14:paraId="1E3ED15F">
      <w:pPr>
        <w:rPr>
          <w:rFonts w:ascii="宋体"/>
          <w:b/>
          <w:color w:val="auto"/>
          <w:sz w:val="32"/>
          <w:szCs w:val="32"/>
        </w:rPr>
      </w:pPr>
      <w:r>
        <w:rPr>
          <w:rFonts w:hint="eastAsia" w:ascii="宋体"/>
          <w:b/>
          <w:color w:val="auto"/>
          <w:sz w:val="32"/>
          <w:szCs w:val="32"/>
        </w:rPr>
        <w:br w:type="page"/>
      </w:r>
    </w:p>
    <w:p w14:paraId="79996EB8">
      <w:pPr>
        <w:spacing w:before="156" w:beforeLines="50" w:after="156" w:afterLines="50"/>
        <w:jc w:val="center"/>
        <w:outlineLvl w:val="0"/>
        <w:rPr>
          <w:rFonts w:ascii="宋体"/>
          <w:b/>
          <w:color w:val="auto"/>
          <w:sz w:val="32"/>
          <w:szCs w:val="32"/>
        </w:rPr>
      </w:pPr>
      <w:r>
        <w:rPr>
          <w:rFonts w:hint="eastAsia" w:ascii="宋体"/>
          <w:b/>
          <w:color w:val="auto"/>
          <w:sz w:val="32"/>
          <w:szCs w:val="32"/>
        </w:rPr>
        <w:t>第三章 评标办法</w:t>
      </w:r>
      <w:bookmarkEnd w:id="50"/>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1" w:name="_Toc449028877"/>
      <w:bookmarkStart w:id="52" w:name="_Toc362983801"/>
      <w:bookmarkStart w:id="53" w:name="_Toc58430317"/>
      <w:bookmarkStart w:id="54" w:name="_Toc20697"/>
      <w:bookmarkStart w:id="55" w:name="_Toc267320058"/>
      <w:bookmarkStart w:id="56" w:name="_Toc58430328"/>
      <w:bookmarkStart w:id="57" w:name="_Toc363135205"/>
      <w:r>
        <w:rPr>
          <w:rFonts w:hint="eastAsia" w:ascii="宋体" w:hAnsi="宋体" w:cs="宋体"/>
          <w:b/>
          <w:color w:val="auto"/>
          <w:sz w:val="28"/>
          <w:szCs w:val="28"/>
          <w:highlight w:val="none"/>
        </w:rPr>
        <w:t>一、总则</w:t>
      </w:r>
      <w:bookmarkEnd w:id="51"/>
      <w:bookmarkEnd w:id="52"/>
      <w:bookmarkEnd w:id="53"/>
      <w:bookmarkEnd w:id="54"/>
    </w:p>
    <w:p w14:paraId="1D5C4DE8">
      <w:pPr>
        <w:spacing w:line="500" w:lineRule="exact"/>
        <w:ind w:firstLine="316" w:firstLineChars="150"/>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 xml:space="preserve"> </w:t>
      </w:r>
      <w:bookmarkStart w:id="58" w:name="_Toc58430318"/>
      <w:bookmarkStart w:id="59" w:name="_Toc449028878"/>
      <w:bookmarkStart w:id="60" w:name="_Toc362983802"/>
      <w:r>
        <w:rPr>
          <w:rFonts w:hint="eastAsia" w:ascii="宋体" w:hAnsi="宋体" w:cs="宋体"/>
          <w:b/>
          <w:color w:val="auto"/>
          <w:szCs w:val="21"/>
          <w:highlight w:val="none"/>
        </w:rPr>
        <w:t>1. 本次评标采用</w:t>
      </w:r>
      <w:r>
        <w:rPr>
          <w:rFonts w:hint="eastAsia" w:ascii="宋体" w:hAnsi="宋体" w:cs="宋体"/>
          <w:b/>
          <w:color w:val="auto"/>
          <w:szCs w:val="21"/>
          <w:highlight w:val="none"/>
          <w:lang w:val="en-US" w:eastAsia="zh-CN"/>
        </w:rPr>
        <w:t>合理低价法</w:t>
      </w:r>
    </w:p>
    <w:p w14:paraId="2C24412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297B8CF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147BB9A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547D14B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1B0FFB3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0F9534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01FF42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4CC8862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2.2.3招标人不接受投标人主动提出的澄清。</w:t>
      </w:r>
    </w:p>
    <w:p w14:paraId="2566D77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56712CF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2．3.1按招标文件中规定的评标方法和标准，对资格性检查和符合性检查合格的投标文件进行综合比较与评价。 </w:t>
      </w:r>
    </w:p>
    <w:p w14:paraId="3792A1C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0BC882C4">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2.4.1中标候选人数量应当根据采购需要确定，但必须按顺序排列中标候选人。</w:t>
      </w:r>
    </w:p>
    <w:p w14:paraId="072CD3D1">
      <w:pPr>
        <w:spacing w:line="500" w:lineRule="exact"/>
        <w:ind w:firstLine="420" w:firstLineChars="200"/>
        <w:jc w:val="left"/>
        <w:rPr>
          <w:rFonts w:ascii="宋体" w:hAnsi="宋体" w:cs="宋体"/>
          <w:color w:val="auto"/>
          <w:highlight w:val="none"/>
        </w:rPr>
      </w:pPr>
      <w:r>
        <w:rPr>
          <w:rFonts w:hint="eastAsia" w:ascii="宋体" w:hAnsi="宋体" w:eastAsia="宋体" w:cs="宋体"/>
          <w:color w:val="auto"/>
          <w:szCs w:val="21"/>
          <w:highlight w:val="none"/>
        </w:rPr>
        <w:t>2.5在投标文件的审查、澄清、评价和比较以及授予合同过程中，投标人对招标人和评标委员会成员施加影响的任何行为，都将导致取消其中标资格。</w:t>
      </w:r>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58"/>
      <w:bookmarkEnd w:id="59"/>
      <w:bookmarkEnd w:id="60"/>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6"/>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4305"/>
        <w:gridCol w:w="3176"/>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030"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176"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43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176" w:type="dxa"/>
            <w:vAlign w:val="center"/>
          </w:tcPr>
          <w:p w14:paraId="3E888FCB">
            <w:pPr>
              <w:spacing w:line="5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305" w:type="dxa"/>
            <w:vAlign w:val="center"/>
          </w:tcPr>
          <w:p w14:paraId="250B9627">
            <w:pPr>
              <w:spacing w:line="500" w:lineRule="exact"/>
              <w:rPr>
                <w:rFonts w:ascii="宋体" w:hAnsi="宋体" w:cs="宋体"/>
                <w:color w:val="auto"/>
                <w:szCs w:val="21"/>
                <w:highlight w:val="none"/>
              </w:rPr>
            </w:pPr>
            <w:r>
              <w:rPr>
                <w:rFonts w:hint="eastAsia" w:ascii="宋体" w:hAnsi="宋体" w:cs="宋体"/>
                <w:color w:val="auto"/>
                <w:szCs w:val="21"/>
                <w:highlight w:val="none"/>
              </w:rPr>
              <w:t>（2）中华人民共和国境内注册并具有相应服务能力的企业</w:t>
            </w:r>
          </w:p>
        </w:tc>
        <w:tc>
          <w:tcPr>
            <w:tcW w:w="3176" w:type="dxa"/>
            <w:vAlign w:val="center"/>
          </w:tcPr>
          <w:p w14:paraId="08591DA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评审核验投标文件中的下列证书、证明材料：</w:t>
            </w:r>
          </w:p>
          <w:p w14:paraId="5AD86302">
            <w:pPr>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投标人有效的营业执照（或“三证合一证书”）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复印件加盖单位公章</w:t>
            </w:r>
            <w:r>
              <w:rPr>
                <w:rFonts w:hint="eastAsia" w:ascii="宋体" w:hAnsi="宋体" w:cs="宋体"/>
                <w:b/>
                <w:bCs/>
                <w:color w:val="auto"/>
                <w:szCs w:val="21"/>
                <w:highlight w:val="none"/>
                <w:lang w:eastAsia="zh-CN"/>
              </w:rPr>
              <w:t>）</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72DA5FBC">
            <w:pPr>
              <w:spacing w:line="500" w:lineRule="exact"/>
              <w:jc w:val="center"/>
              <w:rPr>
                <w:rFonts w:ascii="宋体" w:hAnsi="宋体" w:cs="宋体"/>
                <w:color w:val="auto"/>
                <w:szCs w:val="21"/>
                <w:highlight w:val="none"/>
              </w:rPr>
            </w:pPr>
          </w:p>
        </w:tc>
        <w:tc>
          <w:tcPr>
            <w:tcW w:w="1725" w:type="dxa"/>
            <w:vMerge w:val="continue"/>
            <w:vAlign w:val="center"/>
          </w:tcPr>
          <w:p w14:paraId="60F3040E">
            <w:pPr>
              <w:spacing w:line="500" w:lineRule="exact"/>
              <w:rPr>
                <w:rFonts w:ascii="宋体" w:hAnsi="宋体" w:cs="宋体"/>
                <w:color w:val="auto"/>
                <w:szCs w:val="21"/>
                <w:highlight w:val="none"/>
              </w:rPr>
            </w:pPr>
          </w:p>
        </w:tc>
        <w:tc>
          <w:tcPr>
            <w:tcW w:w="43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3176"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r w14:paraId="4069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1658FDE0">
            <w:pPr>
              <w:spacing w:line="500" w:lineRule="exact"/>
              <w:jc w:val="center"/>
              <w:rPr>
                <w:rFonts w:ascii="宋体" w:hAnsi="宋体" w:cs="宋体"/>
                <w:color w:val="auto"/>
                <w:szCs w:val="21"/>
                <w:highlight w:val="none"/>
              </w:rPr>
            </w:pPr>
          </w:p>
        </w:tc>
        <w:tc>
          <w:tcPr>
            <w:tcW w:w="1725" w:type="dxa"/>
            <w:vMerge w:val="continue"/>
            <w:vAlign w:val="center"/>
          </w:tcPr>
          <w:p w14:paraId="6F946B77">
            <w:pPr>
              <w:spacing w:line="500" w:lineRule="exact"/>
              <w:rPr>
                <w:rFonts w:ascii="宋体" w:hAnsi="宋体" w:cs="宋体"/>
                <w:color w:val="auto"/>
                <w:szCs w:val="21"/>
                <w:highlight w:val="none"/>
              </w:rPr>
            </w:pPr>
          </w:p>
        </w:tc>
        <w:tc>
          <w:tcPr>
            <w:tcW w:w="4305" w:type="dxa"/>
            <w:vAlign w:val="center"/>
          </w:tcPr>
          <w:p w14:paraId="4F558E5E">
            <w:pPr>
              <w:spacing w:line="5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（4）投标人自2023年1月1日至投标截止时间止（以合同签订时间时间为准），具有服务人员外包服务业绩。</w:t>
            </w:r>
          </w:p>
        </w:tc>
        <w:tc>
          <w:tcPr>
            <w:tcW w:w="3176" w:type="dxa"/>
            <w:vAlign w:val="center"/>
          </w:tcPr>
          <w:p w14:paraId="606E88B7">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评审核验投标文件中的下列证明材料：</w:t>
            </w:r>
          </w:p>
          <w:p w14:paraId="32088ECD">
            <w:pPr>
              <w:spacing w:line="5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提供合同等证明材料。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复印件加盖单位公章</w:t>
            </w:r>
            <w:r>
              <w:rPr>
                <w:rFonts w:hint="eastAsia" w:ascii="宋体" w:hAnsi="宋体" w:cs="宋体"/>
                <w:b/>
                <w:bCs/>
                <w:color w:val="auto"/>
                <w:szCs w:val="21"/>
                <w:highlight w:val="none"/>
                <w:lang w:eastAsia="zh-CN"/>
              </w:rPr>
              <w:t>）</w:t>
            </w:r>
          </w:p>
        </w:tc>
      </w:tr>
    </w:tbl>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如评标专家在检验投标文件过程中，如果由于投标人自身原因导致评标专家无法查看并检验投标文件中相关资料的，否决其投标。即使投标人将原件携带至现场的，同样按否决投标处理。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46F2E478">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正本 1 份，副本 1份</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lang w:val="en-US" w:eastAsia="zh-CN"/>
              </w:rPr>
              <w:t>完全</w:t>
            </w:r>
            <w:r>
              <w:rPr>
                <w:rFonts w:hint="eastAsia" w:ascii="宋体" w:hAnsi="宋体" w:cs="宋体"/>
                <w:color w:val="auto"/>
                <w:highlight w:val="none"/>
              </w:rPr>
              <w:t>响应</w:t>
            </w:r>
            <w:r>
              <w:rPr>
                <w:rFonts w:hint="eastAsia" w:ascii="宋体" w:hAnsi="宋体" w:cs="宋体"/>
                <w:color w:val="auto"/>
                <w:highlight w:val="none"/>
                <w:lang w:val="en-US" w:eastAsia="zh-CN"/>
              </w:rPr>
              <w:t>或优于</w:t>
            </w:r>
            <w:r>
              <w:rPr>
                <w:rFonts w:hint="eastAsia" w:ascii="宋体" w:hAnsi="宋体" w:cs="宋体"/>
                <w:color w:val="auto"/>
                <w:highlight w:val="none"/>
                <w:lang w:val="zh-CN"/>
              </w:rPr>
              <w:t>招标文件要求。</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highlight w:val="none"/>
                <w:lang w:val="en-US" w:eastAsia="zh-CN"/>
              </w:rPr>
              <w:t>完全</w:t>
            </w:r>
            <w:r>
              <w:rPr>
                <w:rFonts w:hint="eastAsia" w:ascii="宋体" w:hAnsi="宋体" w:cs="宋体"/>
                <w:color w:val="auto"/>
                <w:highlight w:val="none"/>
              </w:rPr>
              <w:t>响应</w:t>
            </w:r>
            <w:r>
              <w:rPr>
                <w:rFonts w:hint="eastAsia" w:ascii="宋体" w:hAnsi="宋体" w:cs="宋体"/>
                <w:color w:val="auto"/>
                <w:highlight w:val="none"/>
                <w:lang w:val="en-US" w:eastAsia="zh-CN"/>
              </w:rPr>
              <w:t>或优于</w:t>
            </w:r>
            <w:r>
              <w:rPr>
                <w:rFonts w:hint="eastAsia" w:ascii="宋体" w:hAnsi="宋体" w:cs="宋体"/>
                <w:color w:val="auto"/>
                <w:highlight w:val="none"/>
                <w:lang w:val="zh-CN"/>
              </w:rPr>
              <w:t>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只有通过初审的投标人才能进入下一步程序。</w:t>
      </w:r>
    </w:p>
    <w:p w14:paraId="64E50E4C">
      <w:pPr>
        <w:spacing w:before="156" w:beforeLines="50" w:after="156" w:afterLines="50"/>
        <w:jc w:val="center"/>
        <w:outlineLvl w:val="1"/>
        <w:rPr>
          <w:rFonts w:ascii="宋体"/>
          <w:b/>
          <w:color w:val="auto"/>
          <w:sz w:val="28"/>
          <w:szCs w:val="28"/>
          <w:highlight w:val="none"/>
        </w:rPr>
      </w:pPr>
      <w:bookmarkStart w:id="61" w:name="_Toc362983803"/>
      <w:bookmarkStart w:id="62" w:name="_Toc14002"/>
      <w:bookmarkStart w:id="63" w:name="_Toc58430319"/>
      <w:bookmarkStart w:id="64" w:name="_Toc449028879"/>
      <w:r>
        <w:rPr>
          <w:rFonts w:hint="eastAsia" w:ascii="宋体"/>
          <w:b/>
          <w:color w:val="auto"/>
          <w:sz w:val="28"/>
          <w:szCs w:val="28"/>
          <w:highlight w:val="none"/>
        </w:rPr>
        <w:t>三、投标文件的澄清和补正</w:t>
      </w:r>
      <w:bookmarkEnd w:id="61"/>
      <w:bookmarkEnd w:id="62"/>
      <w:bookmarkEnd w:id="63"/>
      <w:bookmarkEnd w:id="64"/>
    </w:p>
    <w:p w14:paraId="0DCB00DE">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如因投标人未参加开标导致开评标过程中无法澄清、说明或补正的，视同投标人放弃该权利。</w:t>
      </w:r>
    </w:p>
    <w:p w14:paraId="0951A136">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w:t>
      </w:r>
    </w:p>
    <w:p w14:paraId="5BECDB4A">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587147F3">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4BDEE82">
      <w:pPr>
        <w:spacing w:line="50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6393DB8">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55"/>
    <w:p w14:paraId="675FCDA9">
      <w:pPr>
        <w:spacing w:before="156" w:beforeLines="50" w:after="156" w:afterLines="50"/>
        <w:jc w:val="center"/>
        <w:outlineLvl w:val="1"/>
        <w:rPr>
          <w:rFonts w:ascii="宋体"/>
          <w:b/>
          <w:color w:val="auto"/>
          <w:sz w:val="28"/>
          <w:szCs w:val="28"/>
          <w:highlight w:val="none"/>
        </w:rPr>
      </w:pPr>
      <w:bookmarkStart w:id="65" w:name="_Toc449028880"/>
      <w:bookmarkStart w:id="66" w:name="_Toc3630"/>
      <w:bookmarkStart w:id="67" w:name="_Toc58430320"/>
      <w:bookmarkStart w:id="68" w:name="_Hlk101517174"/>
      <w:r>
        <w:rPr>
          <w:rFonts w:hint="eastAsia" w:ascii="宋体"/>
          <w:b/>
          <w:color w:val="auto"/>
          <w:sz w:val="28"/>
          <w:szCs w:val="28"/>
          <w:highlight w:val="none"/>
        </w:rPr>
        <w:t>四、比较与评价</w:t>
      </w:r>
      <w:bookmarkEnd w:id="65"/>
      <w:bookmarkEnd w:id="66"/>
      <w:bookmarkEnd w:id="67"/>
    </w:p>
    <w:p w14:paraId="7F5C09E7">
      <w:pPr>
        <w:spacing w:line="50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End w:id="68"/>
      <w:bookmarkStart w:id="69" w:name="_Toc58430321"/>
      <w:bookmarkStart w:id="70" w:name="_Toc362983805"/>
      <w:bookmarkStart w:id="71" w:name="_Toc449028881"/>
      <w:bookmarkStart w:id="72" w:name="_Toc23311"/>
      <w:r>
        <w:rPr>
          <w:rFonts w:hint="eastAsia" w:ascii="宋体" w:hAnsi="宋体" w:eastAsia="宋体" w:cs="宋体"/>
          <w:color w:val="auto"/>
          <w:szCs w:val="21"/>
          <w:highlight w:val="none"/>
        </w:rPr>
        <w:t>6.详细评审即按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中规定的评标方法和标准，评标委员会将对通过</w:t>
      </w:r>
      <w:r>
        <w:rPr>
          <w:rFonts w:hint="eastAsia" w:ascii="宋体" w:hAnsi="宋体" w:eastAsia="宋体" w:cs="宋体"/>
          <w:color w:val="auto"/>
          <w:szCs w:val="21"/>
          <w:highlight w:val="none"/>
          <w:lang w:val="en-US" w:eastAsia="zh-CN"/>
        </w:rPr>
        <w:t>符合性审查</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，进行商务报价评审，综合比较与评价。</w:t>
      </w:r>
    </w:p>
    <w:p w14:paraId="7E27354E">
      <w:pPr>
        <w:spacing w:line="50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w:t>
      </w:r>
    </w:p>
    <w:p w14:paraId="44A1DC35">
      <w:pPr>
        <w:spacing w:line="500" w:lineRule="exact"/>
        <w:ind w:right="36" w:rightChars="17" w:firstLine="403" w:firstLineChars="192"/>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6.1.1投标报价不低于本项目通过符合性评审合格的有效投标报价平均值90%的，为合理报价，否则按无效标处理。</w:t>
      </w:r>
    </w:p>
    <w:p w14:paraId="08FD77AE">
      <w:pPr>
        <w:spacing w:line="50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按照</w:t>
      </w:r>
      <w:r>
        <w:rPr>
          <w:rFonts w:hint="eastAsia" w:ascii="宋体" w:hAnsi="宋体" w:cs="宋体"/>
          <w:color w:val="auto"/>
          <w:szCs w:val="21"/>
          <w:highlight w:val="none"/>
          <w:lang w:val="en-US" w:eastAsia="zh-CN"/>
        </w:rPr>
        <w:t>合理低价法</w:t>
      </w:r>
      <w:r>
        <w:rPr>
          <w:rFonts w:hint="eastAsia" w:ascii="宋体" w:hAnsi="宋体" w:eastAsia="宋体" w:cs="宋体"/>
          <w:color w:val="auto"/>
          <w:szCs w:val="21"/>
          <w:highlight w:val="none"/>
          <w:lang w:val="en-US" w:eastAsia="zh-CN"/>
        </w:rPr>
        <w:t>的原则确定中标候选人，在</w:t>
      </w:r>
      <w:r>
        <w:rPr>
          <w:rFonts w:hint="eastAsia" w:ascii="宋体" w:hAnsi="宋体" w:cs="宋体"/>
          <w:color w:val="auto"/>
          <w:szCs w:val="21"/>
          <w:highlight w:val="none"/>
          <w:lang w:val="en-US" w:eastAsia="zh-CN"/>
        </w:rPr>
        <w:t>合理报价范围内</w:t>
      </w:r>
      <w:r>
        <w:rPr>
          <w:rFonts w:hint="eastAsia" w:ascii="宋体" w:hAnsi="宋体" w:eastAsia="宋体" w:cs="宋体"/>
          <w:color w:val="auto"/>
          <w:szCs w:val="21"/>
          <w:highlight w:val="none"/>
          <w:lang w:val="en-US" w:eastAsia="zh-CN"/>
        </w:rPr>
        <w:t>按有效报价最低原则，推荐</w:t>
      </w:r>
      <w:r>
        <w:rPr>
          <w:rFonts w:hint="eastAsia" w:ascii="宋体" w:hAnsi="宋体" w:cs="宋体"/>
          <w:color w:val="auto"/>
          <w:szCs w:val="21"/>
          <w:highlight w:val="none"/>
          <w:lang w:val="en-US" w:eastAsia="zh-CN"/>
        </w:rPr>
        <w:t>有效合理</w:t>
      </w:r>
      <w:r>
        <w:rPr>
          <w:rFonts w:hint="eastAsia" w:ascii="宋体" w:hAnsi="宋体" w:eastAsia="宋体" w:cs="宋体"/>
          <w:color w:val="auto"/>
          <w:szCs w:val="21"/>
          <w:highlight w:val="none"/>
          <w:lang w:val="en-US" w:eastAsia="zh-CN"/>
        </w:rPr>
        <w:t>报价最低的为第一中标候选人，次低的为第二中标候选人，依次类推，推荐3名中标候选人，并标明排序，有效</w:t>
      </w:r>
      <w:r>
        <w:rPr>
          <w:rFonts w:hint="eastAsia" w:ascii="宋体" w:hAnsi="宋体" w:cs="宋体"/>
          <w:color w:val="auto"/>
          <w:szCs w:val="21"/>
          <w:highlight w:val="none"/>
          <w:lang w:val="en-US" w:eastAsia="zh-CN"/>
        </w:rPr>
        <w:t>合理</w:t>
      </w:r>
      <w:r>
        <w:rPr>
          <w:rFonts w:hint="eastAsia" w:ascii="宋体" w:hAnsi="宋体" w:eastAsia="宋体" w:cs="宋体"/>
          <w:color w:val="auto"/>
          <w:szCs w:val="21"/>
          <w:highlight w:val="none"/>
          <w:lang w:val="en-US" w:eastAsia="zh-CN"/>
        </w:rPr>
        <w:t>投标报价最低的有效投标人有两名或两名以上相同时，由招标人或评标委员会主任抽签确定第一中标候选人。</w:t>
      </w:r>
    </w:p>
    <w:p w14:paraId="647BF181">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69"/>
      <w:bookmarkEnd w:id="70"/>
      <w:bookmarkEnd w:id="71"/>
      <w:bookmarkEnd w:id="72"/>
    </w:p>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w:t>
      </w:r>
      <w:r>
        <w:rPr>
          <w:rFonts w:hint="eastAsia" w:ascii="宋体" w:hAnsi="宋体" w:cs="宋体"/>
          <w:color w:val="auto"/>
          <w:szCs w:val="21"/>
          <w:highlight w:val="none"/>
          <w:lang w:val="en-US" w:eastAsia="zh-CN"/>
        </w:rPr>
        <w:t>有6.1.2的规定</w:t>
      </w:r>
      <w:r>
        <w:rPr>
          <w:rFonts w:hint="eastAsia" w:ascii="宋体" w:hAnsi="宋体" w:cs="宋体"/>
          <w:color w:val="auto"/>
          <w:szCs w:val="21"/>
          <w:highlight w:val="none"/>
        </w:rPr>
        <w:t>推荐3名中标候选人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3AEB97C9">
      <w:pP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7.1如出现有效</w:t>
      </w:r>
      <w:r>
        <w:rPr>
          <w:rFonts w:hint="eastAsia" w:ascii="宋体" w:hAnsi="宋体" w:cs="宋体"/>
          <w:color w:val="auto"/>
          <w:szCs w:val="21"/>
          <w:highlight w:val="none"/>
          <w:lang w:val="en-US" w:eastAsia="zh-CN"/>
        </w:rPr>
        <w:t>合理</w:t>
      </w:r>
      <w:r>
        <w:rPr>
          <w:rFonts w:hint="eastAsia" w:ascii="宋体" w:hAnsi="宋体" w:eastAsia="宋体" w:cs="宋体"/>
          <w:color w:val="auto"/>
          <w:szCs w:val="21"/>
          <w:highlight w:val="none"/>
          <w:lang w:val="en-US" w:eastAsia="zh-CN"/>
        </w:rPr>
        <w:t>报价最低的有效投标人有两名或两名以上相同时，由招标人或评标委员会主任抽签确定第一中标候选人。</w:t>
      </w:r>
    </w:p>
    <w:p w14:paraId="1CE66A76">
      <w:pPr>
        <w:snapToGrid w:val="0"/>
        <w:spacing w:line="50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未在开标截止时间前递交有效投标文件的，不予接收，投标将被拒绝。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)投标人基本资格条件和特定资格条件中有一项及以上不符合要求的；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)其它情形，经评标委员会委提出按无效投标处理的；</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的；</w:t>
      </w:r>
    </w:p>
    <w:p w14:paraId="52CB13B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（6）其它情形，经评标委员会委提出按无效投标处理的；</w:t>
      </w:r>
    </w:p>
    <w:p w14:paraId="469582F2">
      <w:pPr>
        <w:snapToGrid w:val="0"/>
        <w:spacing w:line="500" w:lineRule="exact"/>
        <w:ind w:right="-212" w:rightChars="-101"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（8）招标文件规定的其它无效投标情形。</w:t>
      </w:r>
    </w:p>
    <w:p w14:paraId="2114B261">
      <w:pPr>
        <w:rPr>
          <w:rFonts w:hint="eastAsia" w:ascii="宋体"/>
          <w:b/>
          <w:color w:val="auto"/>
          <w:sz w:val="32"/>
          <w:szCs w:val="32"/>
        </w:rPr>
      </w:pPr>
      <w:r>
        <w:rPr>
          <w:rFonts w:hint="eastAsia" w:ascii="宋体"/>
          <w:b/>
          <w:color w:val="auto"/>
          <w:sz w:val="32"/>
          <w:szCs w:val="32"/>
        </w:rPr>
        <w:br w:type="page"/>
      </w:r>
    </w:p>
    <w:p w14:paraId="3E7047B3">
      <w:pPr>
        <w:snapToGrid w:val="0"/>
        <w:spacing w:line="500" w:lineRule="exact"/>
        <w:ind w:right="-212" w:rightChars="-101"/>
        <w:jc w:val="center"/>
        <w:rPr>
          <w:rFonts w:hint="eastAsia" w:ascii="仿宋" w:hAnsi="仿宋" w:eastAsia="仿宋" w:cs="仿宋"/>
          <w:b/>
          <w:bCs/>
          <w:color w:val="auto"/>
          <w:kern w:val="0"/>
          <w:sz w:val="28"/>
          <w:szCs w:val="28"/>
        </w:rPr>
      </w:pPr>
      <w:r>
        <w:rPr>
          <w:rFonts w:hint="eastAsia" w:ascii="宋体"/>
          <w:b/>
          <w:color w:val="auto"/>
          <w:sz w:val="32"/>
          <w:szCs w:val="32"/>
        </w:rPr>
        <w:t>第四章  采购需求</w:t>
      </w:r>
      <w:bookmarkEnd w:id="56"/>
      <w:bookmarkEnd w:id="57"/>
      <w:bookmarkStart w:id="73" w:name="_Toc58430329"/>
      <w:bookmarkStart w:id="74" w:name="_Toc449028945"/>
      <w:r>
        <w:rPr>
          <w:rFonts w:hint="eastAsia" w:ascii="黑体" w:hAnsi="黑体" w:eastAsia="黑体" w:cs="黑体"/>
          <w:color w:val="auto"/>
          <w:sz w:val="28"/>
          <w:szCs w:val="28"/>
        </w:rPr>
        <w:t xml:space="preserve">  </w:t>
      </w:r>
      <w:r>
        <w:rPr>
          <w:rFonts w:hint="eastAsia" w:ascii="仿宋" w:hAnsi="仿宋" w:eastAsia="仿宋" w:cs="仿宋"/>
          <w:b/>
          <w:bCs/>
          <w:color w:val="auto"/>
          <w:kern w:val="0"/>
          <w:sz w:val="28"/>
          <w:szCs w:val="28"/>
        </w:rPr>
        <w:t xml:space="preserve">     </w:t>
      </w:r>
    </w:p>
    <w:p w14:paraId="068DB2A3">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服务内容</w:t>
      </w:r>
    </w:p>
    <w:p w14:paraId="6096F522">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1、服务标的：磅房工作外包服务，含人员派驻、工作执行、后勤保障等全流程服务。</w:t>
      </w:r>
    </w:p>
    <w:p w14:paraId="0F54C7A1">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2、服务费用：年度服务费用最高为15万元/年/磅房，</w:t>
      </w:r>
      <w:r>
        <w:rPr>
          <w:rFonts w:hint="eastAsia" w:ascii="宋体" w:hAnsi="宋体" w:cs="宋体"/>
          <w:color w:val="auto"/>
          <w:kern w:val="0"/>
          <w:sz w:val="21"/>
          <w:szCs w:val="21"/>
          <w:lang w:val="en-US" w:eastAsia="zh-CN"/>
        </w:rPr>
        <w:t>磅房数量暂定2座，</w:t>
      </w:r>
      <w:r>
        <w:rPr>
          <w:rFonts w:hint="eastAsia" w:hAnsi="宋体" w:cs="宋体"/>
          <w:color w:val="auto"/>
          <w:szCs w:val="21"/>
          <w:highlight w:val="none"/>
          <w:lang w:val="en-US" w:eastAsia="zh-CN"/>
        </w:rPr>
        <w:t>实际数量根据现场情况据实结算。</w:t>
      </w:r>
      <w:r>
        <w:rPr>
          <w:rFonts w:hint="eastAsia" w:ascii="宋体" w:hAnsi="宋体" w:eastAsia="宋体" w:cs="宋体"/>
          <w:color w:val="auto"/>
          <w:kern w:val="0"/>
          <w:sz w:val="21"/>
          <w:szCs w:val="21"/>
        </w:rPr>
        <w:t>该费用为全包价，涵盖人员薪酬、社保、意外险、食宿、交通、管理费用等一切相关支出，</w:t>
      </w:r>
      <w:r>
        <w:rPr>
          <w:rFonts w:hint="eastAsia" w:ascii="宋体" w:hAnsi="宋体" w:eastAsia="宋体" w:cs="宋体"/>
          <w:color w:val="auto"/>
          <w:kern w:val="0"/>
          <w:sz w:val="21"/>
          <w:szCs w:val="21"/>
          <w:lang w:val="en-US" w:eastAsia="zh-CN"/>
        </w:rPr>
        <w:t>采购人</w:t>
      </w:r>
      <w:r>
        <w:rPr>
          <w:rFonts w:hint="eastAsia" w:ascii="宋体" w:hAnsi="宋体" w:eastAsia="宋体" w:cs="宋体"/>
          <w:color w:val="auto"/>
          <w:kern w:val="0"/>
          <w:sz w:val="21"/>
          <w:szCs w:val="21"/>
        </w:rPr>
        <w:t>无需额外支付其他费用。</w:t>
      </w:r>
      <w:r>
        <w:rPr>
          <w:rFonts w:hint="eastAsia" w:ascii="宋体" w:hAnsi="宋体" w:eastAsia="宋体" w:cs="宋体"/>
          <w:color w:val="auto"/>
          <w:kern w:val="0"/>
          <w:sz w:val="21"/>
          <w:szCs w:val="21"/>
          <w:lang w:val="en-US" w:eastAsia="zh-CN"/>
        </w:rPr>
        <w:t>中标后，年度服务费用不予调整。中标人在合同履行期限内内应按照国家法律法规及滁州市相关标准，按时发放工资、按照相关规定缴纳社保。滁州市人社局对滁州市人员最低工资及社保标准进行调整时，中标人应作相应调整。</w:t>
      </w:r>
    </w:p>
    <w:p w14:paraId="6F6ED52C">
      <w:pPr>
        <w:pageBreakBefore w:val="0"/>
        <w:kinsoku/>
        <w:wordWrap/>
        <w:overflowPunct/>
        <w:topLinePunct w:val="0"/>
        <w:autoSpaceDE/>
        <w:autoSpaceDN/>
        <w:bidi w:val="0"/>
        <w:adjustRightInd/>
        <w:snapToGrid/>
        <w:spacing w:line="540" w:lineRule="exact"/>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服务期限：3年，合同实行一年一签。其中第一年对中标人每月度进行考核，考核合格且无重大过错前提下，采购人不得无故终止合同；自第二年起，采购人有权根据现场工作需求量随时终止合同，无需承担额外违约责任；若中标人</w:t>
      </w:r>
      <w:r>
        <w:rPr>
          <w:rFonts w:hint="eastAsia" w:ascii="宋体" w:hAnsi="宋体" w:cs="宋体"/>
          <w:color w:val="auto"/>
          <w:kern w:val="0"/>
          <w:sz w:val="21"/>
          <w:szCs w:val="21"/>
          <w:lang w:val="en-US" w:eastAsia="zh-CN"/>
        </w:rPr>
        <w:t>累计2次</w:t>
      </w:r>
      <w:r>
        <w:rPr>
          <w:rFonts w:hint="eastAsia" w:ascii="宋体" w:hAnsi="宋体" w:eastAsia="宋体" w:cs="宋体"/>
          <w:color w:val="auto"/>
          <w:kern w:val="0"/>
          <w:sz w:val="21"/>
          <w:szCs w:val="21"/>
        </w:rPr>
        <w:t>考核不合格，不区分保底期限，采购人</w:t>
      </w:r>
      <w:r>
        <w:rPr>
          <w:rFonts w:hint="eastAsia" w:ascii="宋体" w:hAnsi="宋体" w:eastAsia="宋体" w:cs="宋体"/>
          <w:bCs w:val="0"/>
          <w:color w:val="auto"/>
          <w:kern w:val="0"/>
          <w:sz w:val="21"/>
          <w:szCs w:val="21"/>
          <w:u w:val="none"/>
          <w:lang w:val="en-US" w:eastAsia="zh-CN" w:bidi="ar-SA"/>
        </w:rPr>
        <w:t>有权终止合同，扣除当期服务费用的20%和全部履约保证金。</w:t>
      </w:r>
    </w:p>
    <w:p w14:paraId="19AD81C6">
      <w:pPr>
        <w:pageBreakBefore w:val="0"/>
        <w:kinsoku/>
        <w:wordWrap/>
        <w:overflowPunct/>
        <w:topLinePunct w:val="0"/>
        <w:autoSpaceDE/>
        <w:autoSpaceDN/>
        <w:bidi w:val="0"/>
        <w:adjustRightInd/>
        <w:snapToGrid/>
        <w:spacing w:line="520" w:lineRule="exact"/>
        <w:ind w:firstLine="420" w:firstLineChars="200"/>
        <w:jc w:val="left"/>
        <w:rPr>
          <w:rFonts w:hint="eastAsia"/>
          <w:color w:val="auto"/>
        </w:rPr>
      </w:pPr>
      <w:r>
        <w:rPr>
          <w:rFonts w:hint="eastAsia" w:ascii="宋体" w:hAnsi="宋体" w:eastAsia="宋体" w:cs="宋体"/>
          <w:color w:val="auto"/>
          <w:kern w:val="0"/>
          <w:sz w:val="21"/>
          <w:szCs w:val="21"/>
        </w:rPr>
        <w:t>4、结算方式</w:t>
      </w:r>
      <w:r>
        <w:rPr>
          <w:rFonts w:hint="eastAsia" w:ascii="宋体" w:hAnsi="宋体" w:eastAsia="宋体" w:cs="宋体"/>
          <w:color w:val="auto"/>
          <w:kern w:val="0"/>
          <w:sz w:val="21"/>
          <w:szCs w:val="21"/>
          <w:highlight w:val="none"/>
        </w:rPr>
        <w:t>：</w:t>
      </w:r>
      <w:r>
        <w:rPr>
          <w:rFonts w:hint="eastAsia"/>
          <w:color w:val="auto"/>
        </w:rPr>
        <w:t>按月</w:t>
      </w:r>
      <w:r>
        <w:rPr>
          <w:rFonts w:hint="eastAsia"/>
          <w:color w:val="auto"/>
          <w:lang w:val="en-US" w:eastAsia="zh-CN"/>
        </w:rPr>
        <w:t>据实</w:t>
      </w:r>
      <w:r>
        <w:rPr>
          <w:rFonts w:hint="eastAsia"/>
          <w:color w:val="auto"/>
        </w:rPr>
        <w:t>结算，不足一个月</w:t>
      </w:r>
      <w:r>
        <w:rPr>
          <w:rFonts w:hint="eastAsia"/>
          <w:color w:val="auto"/>
          <w:lang w:val="en-US" w:eastAsia="zh-CN"/>
        </w:rPr>
        <w:t>的，以15个日历天为标准，超过15个日历天按月结算，不足15个日历天的按天结算（即年中标价/365-对应处罚费用）</w:t>
      </w:r>
      <w:r>
        <w:rPr>
          <w:rFonts w:hint="eastAsia"/>
          <w:color w:val="auto"/>
          <w:lang w:eastAsia="zh-CN"/>
        </w:rPr>
        <w:t>。</w:t>
      </w:r>
      <w:r>
        <w:rPr>
          <w:rFonts w:hint="eastAsia"/>
          <w:color w:val="auto"/>
        </w:rPr>
        <w:t>中标人每月末提交合格的服务结算资料，采购人审核通过后在约定时间内支付对应月份服务费用（即年中标价/12-对应处罚费用）。</w:t>
      </w:r>
    </w:p>
    <w:p w14:paraId="4F5300BF">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5、履约保证金：按单座磅房中标金额×2 座×10%计算缴纳</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签订合同</w:t>
      </w:r>
      <w:r>
        <w:rPr>
          <w:rFonts w:hint="eastAsia" w:ascii="宋体" w:hAnsi="宋体" w:eastAsia="宋体" w:cs="宋体"/>
          <w:color w:val="auto"/>
          <w:kern w:val="0"/>
          <w:sz w:val="21"/>
          <w:szCs w:val="21"/>
          <w:lang w:val="en-US" w:eastAsia="zh-CN"/>
        </w:rPr>
        <w:t>前缴纳至采购人指定账户</w:t>
      </w:r>
      <w:r>
        <w:rPr>
          <w:rFonts w:hint="eastAsia" w:ascii="宋体" w:hAnsi="宋体" w:eastAsia="宋体" w:cs="宋体"/>
          <w:color w:val="auto"/>
          <w:kern w:val="0"/>
          <w:sz w:val="21"/>
          <w:szCs w:val="21"/>
        </w:rPr>
        <w:t>。</w:t>
      </w:r>
    </w:p>
    <w:p w14:paraId="03C80B32">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二、工作内容要求</w:t>
      </w:r>
    </w:p>
    <w:p w14:paraId="08181977">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1、严格按照现场作业需求，对进出磅房的所有车辆进行毛重、净重、皮重的精准称重，确保称重数据无误差。</w:t>
      </w:r>
    </w:p>
    <w:p w14:paraId="5411996D">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2、详细、准确记录每笔称重业务的相关信息，包括但不限于车辆号牌、称重时间、货物名称、毛重、皮重、净重、发货单编号等，形成完整的称重记录台账。</w:t>
      </w:r>
    </w:p>
    <w:p w14:paraId="73D4F293">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3、负责对进出库的各品类石料与发货单（或收货单）进行“物、单” 核对，确认货物品类、规格、数量与单据信息一致，杜绝错发、漏发等情况。</w:t>
      </w:r>
    </w:p>
    <w:p w14:paraId="7997F8E8">
      <w:pPr>
        <w:pStyle w:val="6"/>
        <w:keepNext/>
        <w:keepLines/>
        <w:pageBreakBefore w:val="0"/>
        <w:widowControl/>
        <w:kinsoku/>
        <w:wordWrap/>
        <w:overflowPunct/>
        <w:topLinePunct w:val="0"/>
        <w:autoSpaceDE/>
        <w:autoSpaceDN/>
        <w:bidi w:val="0"/>
        <w:adjustRightInd/>
        <w:snapToGrid/>
        <w:spacing w:before="0" w:after="0" w:line="520" w:lineRule="exact"/>
        <w:ind w:firstLine="420" w:firstLineChars="200"/>
        <w:jc w:val="left"/>
        <w:textAlignment w:val="baseline"/>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4、配合采购人现场管理人员的工作安排，完成与称重相关的其他辅助性工作，如货物外观初步检查、车辆进出引导、磅房卫生等。</w:t>
      </w:r>
    </w:p>
    <w:p w14:paraId="0332003A">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三、工作标准</w:t>
      </w:r>
    </w:p>
    <w:p w14:paraId="22B2EC87">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1、来料核对：严格核对来料的品类、规格，确保与单据标注一致；对货物重量进行监督复核，若发现称重数据异常（如与合理误差范围不符），需立即暂停作业并上报采购人现场管理人员。</w:t>
      </w:r>
    </w:p>
    <w:p w14:paraId="7A2CCD7F">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2、数据准确性：称重数据记录准确率需达到100%，台账记录完整、清晰、规范，无涂改、漏填、错填现象；电子表格数据录入及时，与纸质台账保持一致，数据完整性达100%。</w:t>
      </w:r>
    </w:p>
    <w:p w14:paraId="2C4EDA87">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3、设备操作：熟练掌握地磅设备的操作方法，规范操作设备，避免因操作不当导致设备故障或数据错误；定期检查设备运行状态，发现异常及时上报采购人。</w:t>
      </w:r>
    </w:p>
    <w:p w14:paraId="79E683FA">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4、响应时效：提供24小时人员在岗服务，确保在现场有作业需求时，工作人员能及时到岗开展工作；无生产计划时，工作人员离岗须提前向采购人现场负责人报备，经同意后方可离开，且离岗期间需保证通讯畅通，紧急情况可随时到岗。</w:t>
      </w:r>
    </w:p>
    <w:p w14:paraId="7AA3FF3F">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四、考核与整改机制</w:t>
      </w:r>
    </w:p>
    <w:p w14:paraId="5F02C325">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1、考核基础规则</w:t>
      </w:r>
    </w:p>
    <w:p w14:paraId="6071B2EB">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1.1考核周期：按月度开展综合考核，采购人每月底依据本条款标准对中标人工作质量、人员履职、合规性等进行评分（满分100分，80分及以上为合格）。</w:t>
      </w:r>
    </w:p>
    <w:p w14:paraId="18A9DF96">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1.2结果通知：采购人于次月5个工作日内将考核结果、扣分明细及整改要求书面告知中标人，中标人需在3个工作日内确认回复，逾期未回复视为认可考核结果。</w:t>
      </w:r>
    </w:p>
    <w:p w14:paraId="6D4DD60D">
      <w:pPr>
        <w:pageBreakBefore w:val="0"/>
        <w:kinsoku/>
        <w:wordWrap/>
        <w:overflowPunct/>
        <w:topLinePunct w:val="0"/>
        <w:autoSpaceDE/>
        <w:autoSpaceDN/>
        <w:bidi w:val="0"/>
        <w:adjustRightInd/>
        <w:snapToGrid/>
        <w:spacing w:line="520" w:lineRule="exact"/>
        <w:ind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2、具体考核指标、扣分标准及整改要求</w:t>
      </w:r>
    </w:p>
    <w:tbl>
      <w:tblPr>
        <w:tblStyle w:val="3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21"/>
        <w:gridCol w:w="2056"/>
        <w:gridCol w:w="1066"/>
        <w:gridCol w:w="2172"/>
        <w:gridCol w:w="3030"/>
      </w:tblGrid>
      <w:tr w14:paraId="2E9F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Header/>
          <w:jc w:val="center"/>
        </w:trPr>
        <w:tc>
          <w:tcPr>
            <w:tcW w:w="1021" w:type="dxa"/>
            <w:noWrap w:val="0"/>
            <w:tcMar>
              <w:top w:w="90" w:type="dxa"/>
              <w:left w:w="80" w:type="dxa"/>
              <w:bottom w:w="90" w:type="dxa"/>
              <w:right w:w="80" w:type="dxa"/>
            </w:tcMar>
            <w:vAlign w:val="center"/>
          </w:tcPr>
          <w:p w14:paraId="187B2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考核类别</w:t>
            </w:r>
          </w:p>
        </w:tc>
        <w:tc>
          <w:tcPr>
            <w:tcW w:w="2056" w:type="dxa"/>
            <w:noWrap w:val="0"/>
            <w:tcMar>
              <w:top w:w="90" w:type="dxa"/>
              <w:left w:w="80" w:type="dxa"/>
              <w:bottom w:w="90" w:type="dxa"/>
              <w:right w:w="80" w:type="dxa"/>
            </w:tcMar>
            <w:vAlign w:val="center"/>
          </w:tcPr>
          <w:p w14:paraId="3E0DDF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具体违规情形</w:t>
            </w:r>
          </w:p>
        </w:tc>
        <w:tc>
          <w:tcPr>
            <w:tcW w:w="1066" w:type="dxa"/>
            <w:noWrap w:val="0"/>
            <w:tcMar>
              <w:top w:w="90" w:type="dxa"/>
              <w:left w:w="80" w:type="dxa"/>
              <w:bottom w:w="90" w:type="dxa"/>
              <w:right w:w="80" w:type="dxa"/>
            </w:tcMar>
            <w:vAlign w:val="center"/>
          </w:tcPr>
          <w:p w14:paraId="1B8C9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扣分标准</w:t>
            </w:r>
          </w:p>
        </w:tc>
        <w:tc>
          <w:tcPr>
            <w:tcW w:w="2172" w:type="dxa"/>
            <w:noWrap w:val="0"/>
            <w:tcMar>
              <w:top w:w="90" w:type="dxa"/>
              <w:left w:w="80" w:type="dxa"/>
              <w:bottom w:w="90" w:type="dxa"/>
              <w:right w:w="80" w:type="dxa"/>
            </w:tcMar>
            <w:vAlign w:val="center"/>
          </w:tcPr>
          <w:p w14:paraId="10548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整改要求</w:t>
            </w:r>
          </w:p>
        </w:tc>
        <w:tc>
          <w:tcPr>
            <w:tcW w:w="3030" w:type="dxa"/>
            <w:noWrap w:val="0"/>
            <w:tcMar>
              <w:top w:w="90" w:type="dxa"/>
              <w:left w:w="80" w:type="dxa"/>
              <w:bottom w:w="90" w:type="dxa"/>
              <w:right w:w="80" w:type="dxa"/>
            </w:tcMar>
            <w:vAlign w:val="center"/>
          </w:tcPr>
          <w:p w14:paraId="77F61C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对应处罚措施</w:t>
            </w:r>
          </w:p>
        </w:tc>
      </w:tr>
      <w:tr w14:paraId="6AF8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1" w:type="dxa"/>
            <w:noWrap w:val="0"/>
            <w:tcMar>
              <w:top w:w="90" w:type="dxa"/>
              <w:left w:w="80" w:type="dxa"/>
              <w:bottom w:w="90" w:type="dxa"/>
              <w:right w:w="80" w:type="dxa"/>
            </w:tcMar>
            <w:vAlign w:val="center"/>
          </w:tcPr>
          <w:p w14:paraId="451463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数据</w:t>
            </w:r>
          </w:p>
          <w:p w14:paraId="45AD2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准确性</w:t>
            </w:r>
          </w:p>
        </w:tc>
        <w:tc>
          <w:tcPr>
            <w:tcW w:w="2056" w:type="dxa"/>
            <w:noWrap w:val="0"/>
            <w:tcMar>
              <w:top w:w="90" w:type="dxa"/>
              <w:left w:w="80" w:type="dxa"/>
              <w:bottom w:w="90" w:type="dxa"/>
              <w:right w:w="80" w:type="dxa"/>
            </w:tcMar>
            <w:vAlign w:val="center"/>
          </w:tcPr>
          <w:p w14:paraId="40E2F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1.称重数据记录错误（单条记录）；</w:t>
            </w:r>
          </w:p>
          <w:p w14:paraId="24FBD0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2.台账漏填、错填；</w:t>
            </w:r>
          </w:p>
          <w:p w14:paraId="7076A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3.电子表格与纸质台账数据不一致。</w:t>
            </w:r>
          </w:p>
        </w:tc>
        <w:tc>
          <w:tcPr>
            <w:tcW w:w="1066" w:type="dxa"/>
            <w:noWrap w:val="0"/>
            <w:tcMar>
              <w:top w:w="90" w:type="dxa"/>
              <w:left w:w="80" w:type="dxa"/>
              <w:bottom w:w="90" w:type="dxa"/>
              <w:right w:w="80" w:type="dxa"/>
            </w:tcMar>
            <w:vAlign w:val="center"/>
          </w:tcPr>
          <w:p w14:paraId="21E27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每发现一次扣5分</w:t>
            </w:r>
          </w:p>
        </w:tc>
        <w:tc>
          <w:tcPr>
            <w:tcW w:w="2172" w:type="dxa"/>
            <w:noWrap w:val="0"/>
            <w:tcMar>
              <w:top w:w="90" w:type="dxa"/>
              <w:left w:w="80" w:type="dxa"/>
              <w:bottom w:w="90" w:type="dxa"/>
              <w:right w:w="80" w:type="dxa"/>
            </w:tcMar>
            <w:vAlign w:val="center"/>
          </w:tcPr>
          <w:p w14:paraId="1AFAA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1.24小时内完成数据更正，重新核对相关记录；</w:t>
            </w:r>
          </w:p>
          <w:p w14:paraId="66267B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2.提交书面说明，分析错误原因。</w:t>
            </w:r>
          </w:p>
        </w:tc>
        <w:tc>
          <w:tcPr>
            <w:tcW w:w="3030" w:type="dxa"/>
            <w:noWrap w:val="0"/>
            <w:tcMar>
              <w:top w:w="90" w:type="dxa"/>
              <w:left w:w="80" w:type="dxa"/>
              <w:bottom w:w="90" w:type="dxa"/>
              <w:right w:w="80" w:type="dxa"/>
            </w:tcMar>
            <w:vAlign w:val="center"/>
          </w:tcPr>
          <w:p w14:paraId="1FA5A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1.每发现一次扣除服务费100元；</w:t>
            </w:r>
          </w:p>
          <w:p w14:paraId="70DAF4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2.月度累计扣分超过10分，扣除当月服务费用的20%。</w:t>
            </w:r>
          </w:p>
        </w:tc>
      </w:tr>
      <w:tr w14:paraId="24E9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1" w:type="dxa"/>
            <w:noWrap w:val="0"/>
            <w:tcMar>
              <w:top w:w="90" w:type="dxa"/>
              <w:left w:w="80" w:type="dxa"/>
              <w:bottom w:w="90" w:type="dxa"/>
              <w:right w:w="80" w:type="dxa"/>
            </w:tcMar>
            <w:vAlign w:val="center"/>
          </w:tcPr>
          <w:p w14:paraId="5A45B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单据</w:t>
            </w:r>
          </w:p>
          <w:p w14:paraId="5E6D2E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核对</w:t>
            </w:r>
          </w:p>
        </w:tc>
        <w:tc>
          <w:tcPr>
            <w:tcW w:w="2056" w:type="dxa"/>
            <w:noWrap w:val="0"/>
            <w:tcMar>
              <w:top w:w="90" w:type="dxa"/>
              <w:left w:w="80" w:type="dxa"/>
              <w:bottom w:w="90" w:type="dxa"/>
              <w:right w:w="80" w:type="dxa"/>
            </w:tcMar>
            <w:vAlign w:val="center"/>
          </w:tcPr>
          <w:p w14:paraId="0A1E2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1.货物品类、规格核对失误；</w:t>
            </w:r>
          </w:p>
          <w:p w14:paraId="2C2D8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2.数量与单据偏差在合理范围外且未及时上报。</w:t>
            </w:r>
          </w:p>
        </w:tc>
        <w:tc>
          <w:tcPr>
            <w:tcW w:w="1066" w:type="dxa"/>
            <w:noWrap w:val="0"/>
            <w:tcMar>
              <w:top w:w="90" w:type="dxa"/>
              <w:left w:w="80" w:type="dxa"/>
              <w:bottom w:w="90" w:type="dxa"/>
              <w:right w:w="80" w:type="dxa"/>
            </w:tcMar>
            <w:vAlign w:val="center"/>
          </w:tcPr>
          <w:p w14:paraId="1A92F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每发现一次扣10分</w:t>
            </w:r>
          </w:p>
        </w:tc>
        <w:tc>
          <w:tcPr>
            <w:tcW w:w="2172" w:type="dxa"/>
            <w:noWrap w:val="0"/>
            <w:tcMar>
              <w:top w:w="90" w:type="dxa"/>
              <w:left w:w="80" w:type="dxa"/>
              <w:bottom w:w="90" w:type="dxa"/>
              <w:right w:w="80" w:type="dxa"/>
            </w:tcMar>
            <w:vAlign w:val="center"/>
          </w:tcPr>
          <w:p w14:paraId="6BA026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立即暂停相关作业，重新核对货物与单据</w:t>
            </w:r>
          </w:p>
        </w:tc>
        <w:tc>
          <w:tcPr>
            <w:tcW w:w="3030" w:type="dxa"/>
            <w:noWrap w:val="0"/>
            <w:tcMar>
              <w:top w:w="90" w:type="dxa"/>
              <w:left w:w="80" w:type="dxa"/>
              <w:bottom w:w="90" w:type="dxa"/>
              <w:right w:w="80" w:type="dxa"/>
            </w:tcMar>
            <w:vAlign w:val="center"/>
          </w:tcPr>
          <w:p w14:paraId="18E2F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1.每发现一次扣除服务费1000元；</w:t>
            </w:r>
          </w:p>
          <w:p w14:paraId="188AE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2.月度累计扣分达20分，扣除当月服务费用的30%；</w:t>
            </w:r>
          </w:p>
          <w:p w14:paraId="57DA9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3.造成采购人直接损失的，按损失金额的1.5倍赔偿。</w:t>
            </w:r>
          </w:p>
        </w:tc>
      </w:tr>
      <w:tr w14:paraId="7725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1" w:type="dxa"/>
            <w:noWrap w:val="0"/>
            <w:tcMar>
              <w:top w:w="90" w:type="dxa"/>
              <w:left w:w="80" w:type="dxa"/>
              <w:bottom w:w="90" w:type="dxa"/>
              <w:right w:w="80" w:type="dxa"/>
            </w:tcMar>
            <w:vAlign w:val="center"/>
          </w:tcPr>
          <w:p w14:paraId="35E7D1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设备</w:t>
            </w:r>
          </w:p>
          <w:p w14:paraId="2CD91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操作</w:t>
            </w:r>
          </w:p>
        </w:tc>
        <w:tc>
          <w:tcPr>
            <w:tcW w:w="2056" w:type="dxa"/>
            <w:noWrap w:val="0"/>
            <w:tcMar>
              <w:top w:w="90" w:type="dxa"/>
              <w:left w:w="80" w:type="dxa"/>
              <w:bottom w:w="90" w:type="dxa"/>
              <w:right w:w="80" w:type="dxa"/>
            </w:tcMar>
            <w:vAlign w:val="center"/>
          </w:tcPr>
          <w:p w14:paraId="3FDA94D5">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操作不规范（未造成设备故障）；</w:t>
            </w:r>
          </w:p>
          <w:p w14:paraId="77FEF4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2.未定期检查设备状态（单次）</w:t>
            </w:r>
          </w:p>
        </w:tc>
        <w:tc>
          <w:tcPr>
            <w:tcW w:w="1066" w:type="dxa"/>
            <w:noWrap w:val="0"/>
            <w:tcMar>
              <w:top w:w="90" w:type="dxa"/>
              <w:left w:w="80" w:type="dxa"/>
              <w:bottom w:w="90" w:type="dxa"/>
              <w:right w:w="80" w:type="dxa"/>
            </w:tcMar>
            <w:vAlign w:val="center"/>
          </w:tcPr>
          <w:p w14:paraId="0A258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每发现一次扣3分</w:t>
            </w:r>
          </w:p>
        </w:tc>
        <w:tc>
          <w:tcPr>
            <w:tcW w:w="2172" w:type="dxa"/>
            <w:noWrap w:val="0"/>
            <w:tcMar>
              <w:top w:w="90" w:type="dxa"/>
              <w:left w:w="80" w:type="dxa"/>
              <w:bottom w:w="90" w:type="dxa"/>
              <w:right w:w="80" w:type="dxa"/>
            </w:tcMar>
            <w:vAlign w:val="center"/>
          </w:tcPr>
          <w:p w14:paraId="38016E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1.立即纠正操作行为；</w:t>
            </w:r>
          </w:p>
          <w:p w14:paraId="05A92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2.对设备进行全面检查，提交检查结果。</w:t>
            </w:r>
          </w:p>
        </w:tc>
        <w:tc>
          <w:tcPr>
            <w:tcW w:w="3030" w:type="dxa"/>
            <w:noWrap w:val="0"/>
            <w:tcMar>
              <w:top w:w="90" w:type="dxa"/>
              <w:left w:w="80" w:type="dxa"/>
              <w:bottom w:w="90" w:type="dxa"/>
              <w:right w:w="80" w:type="dxa"/>
            </w:tcMar>
            <w:vAlign w:val="center"/>
          </w:tcPr>
          <w:p w14:paraId="41D69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1.每发现一次扣除服务费50元；</w:t>
            </w:r>
          </w:p>
          <w:p w14:paraId="2B29BC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2.月度累计扣分超过12分：扣除当月服务费用的5%；</w:t>
            </w:r>
          </w:p>
          <w:p w14:paraId="3D6512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3.因操作不当导致设备故障或损坏，服务方承担全部维修费用，并扣除当月服务费用的10%。</w:t>
            </w:r>
          </w:p>
        </w:tc>
      </w:tr>
      <w:tr w14:paraId="3ADF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1" w:type="dxa"/>
            <w:noWrap w:val="0"/>
            <w:tcMar>
              <w:top w:w="90" w:type="dxa"/>
              <w:left w:w="80" w:type="dxa"/>
              <w:bottom w:w="90" w:type="dxa"/>
              <w:right w:w="80" w:type="dxa"/>
            </w:tcMar>
            <w:vAlign w:val="center"/>
          </w:tcPr>
          <w:p w14:paraId="24ED9F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响应</w:t>
            </w:r>
          </w:p>
          <w:p w14:paraId="5FC45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时效</w:t>
            </w:r>
          </w:p>
        </w:tc>
        <w:tc>
          <w:tcPr>
            <w:tcW w:w="2056" w:type="dxa"/>
            <w:noWrap w:val="0"/>
            <w:tcMar>
              <w:top w:w="90" w:type="dxa"/>
              <w:left w:w="80" w:type="dxa"/>
              <w:bottom w:w="90" w:type="dxa"/>
              <w:right w:w="80" w:type="dxa"/>
            </w:tcMar>
            <w:vAlign w:val="center"/>
          </w:tcPr>
          <w:p w14:paraId="3883E4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未经报备擅自离岗或脱岗</w:t>
            </w:r>
          </w:p>
        </w:tc>
        <w:tc>
          <w:tcPr>
            <w:tcW w:w="1066" w:type="dxa"/>
            <w:noWrap w:val="0"/>
            <w:tcMar>
              <w:top w:w="90" w:type="dxa"/>
              <w:left w:w="80" w:type="dxa"/>
              <w:bottom w:w="90" w:type="dxa"/>
              <w:right w:w="80" w:type="dxa"/>
            </w:tcMar>
            <w:vAlign w:val="center"/>
          </w:tcPr>
          <w:p w14:paraId="588AF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每次</w:t>
            </w:r>
          </w:p>
          <w:p w14:paraId="26E2F4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扣20分</w:t>
            </w:r>
          </w:p>
        </w:tc>
        <w:tc>
          <w:tcPr>
            <w:tcW w:w="2172" w:type="dxa"/>
            <w:noWrap w:val="0"/>
            <w:tcMar>
              <w:top w:w="90" w:type="dxa"/>
              <w:left w:w="80" w:type="dxa"/>
              <w:bottom w:w="90" w:type="dxa"/>
              <w:right w:w="80" w:type="dxa"/>
            </w:tcMar>
            <w:vAlign w:val="center"/>
          </w:tcPr>
          <w:p w14:paraId="75667F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1.立即更换工作人员；</w:t>
            </w:r>
          </w:p>
          <w:p w14:paraId="65967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2.2个工作日内提交书面检讨，明确改进措施。</w:t>
            </w:r>
          </w:p>
        </w:tc>
        <w:tc>
          <w:tcPr>
            <w:tcW w:w="3030" w:type="dxa"/>
            <w:noWrap w:val="0"/>
            <w:tcMar>
              <w:top w:w="90" w:type="dxa"/>
              <w:left w:w="80" w:type="dxa"/>
              <w:bottom w:w="90" w:type="dxa"/>
              <w:right w:w="80" w:type="dxa"/>
            </w:tcMar>
            <w:vAlign w:val="center"/>
          </w:tcPr>
          <w:p w14:paraId="3B70C1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1.发现一次扣除当月服务费1000元；</w:t>
            </w:r>
          </w:p>
          <w:p w14:paraId="3406C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highlight w:val="none"/>
                <w:lang w:val="en-US" w:eastAsia="zh-CN" w:bidi="ar"/>
              </w:rPr>
              <w:t>月度累计扣分超20分解除合同。</w:t>
            </w:r>
          </w:p>
        </w:tc>
      </w:tr>
      <w:tr w14:paraId="688A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021" w:type="dxa"/>
            <w:noWrap w:val="0"/>
            <w:tcMar>
              <w:top w:w="90" w:type="dxa"/>
              <w:left w:w="80" w:type="dxa"/>
              <w:bottom w:w="90" w:type="dxa"/>
              <w:right w:w="80" w:type="dxa"/>
            </w:tcMar>
            <w:vAlign w:val="center"/>
          </w:tcPr>
          <w:p w14:paraId="53CD6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严重</w:t>
            </w:r>
          </w:p>
          <w:p w14:paraId="0A5AE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违规</w:t>
            </w:r>
          </w:p>
        </w:tc>
        <w:tc>
          <w:tcPr>
            <w:tcW w:w="2056" w:type="dxa"/>
            <w:noWrap w:val="0"/>
            <w:tcMar>
              <w:top w:w="90" w:type="dxa"/>
              <w:left w:w="80" w:type="dxa"/>
              <w:bottom w:w="90" w:type="dxa"/>
              <w:right w:w="80" w:type="dxa"/>
            </w:tcMar>
            <w:vAlign w:val="center"/>
          </w:tcPr>
          <w:p w14:paraId="3952E4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1.数据造假、私自篡改台账；</w:t>
            </w:r>
          </w:p>
          <w:p w14:paraId="71FAA3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2.工作人员酒后上岗、打架斗殴；</w:t>
            </w:r>
          </w:p>
          <w:p w14:paraId="22E71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3.拒绝配合业主方监督考核；</w:t>
            </w:r>
          </w:p>
          <w:p w14:paraId="2A3962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4.整改后仍未达标（累计2次）。</w:t>
            </w:r>
          </w:p>
        </w:tc>
        <w:tc>
          <w:tcPr>
            <w:tcW w:w="1066" w:type="dxa"/>
            <w:noWrap w:val="0"/>
            <w:tcMar>
              <w:top w:w="90" w:type="dxa"/>
              <w:left w:w="80" w:type="dxa"/>
              <w:bottom w:w="90" w:type="dxa"/>
              <w:right w:w="80" w:type="dxa"/>
            </w:tcMar>
            <w:vAlign w:val="center"/>
          </w:tcPr>
          <w:p w14:paraId="6A33C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直接解</w:t>
            </w:r>
          </w:p>
          <w:p w14:paraId="72A6A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除合同</w:t>
            </w:r>
          </w:p>
        </w:tc>
        <w:tc>
          <w:tcPr>
            <w:tcW w:w="2172" w:type="dxa"/>
            <w:noWrap w:val="0"/>
            <w:tcMar>
              <w:top w:w="90" w:type="dxa"/>
              <w:left w:w="80" w:type="dxa"/>
              <w:bottom w:w="90" w:type="dxa"/>
              <w:right w:w="80" w:type="dxa"/>
            </w:tcMar>
            <w:vAlign w:val="center"/>
          </w:tcPr>
          <w:p w14:paraId="67B2F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lang w:val="en-US" w:eastAsia="zh-CN" w:bidi="ar"/>
              </w:rPr>
              <w:t>无整改期限，直接解除合同</w:t>
            </w:r>
          </w:p>
        </w:tc>
        <w:tc>
          <w:tcPr>
            <w:tcW w:w="3030" w:type="dxa"/>
            <w:noWrap w:val="0"/>
            <w:tcMar>
              <w:top w:w="90" w:type="dxa"/>
              <w:left w:w="80" w:type="dxa"/>
              <w:bottom w:w="90" w:type="dxa"/>
              <w:right w:w="80" w:type="dxa"/>
            </w:tcMar>
            <w:vAlign w:val="center"/>
          </w:tcPr>
          <w:p w14:paraId="3356FF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p>
        </w:tc>
      </w:tr>
    </w:tbl>
    <w:p w14:paraId="52FE89C8">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3、累计处罚规则</w:t>
      </w:r>
    </w:p>
    <w:p w14:paraId="753CFF3A">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累计2个月考核不合格（低于80分）：采购人有权终止合同，扣除当期服务费用的20%</w:t>
      </w:r>
      <w:r>
        <w:rPr>
          <w:rFonts w:hint="eastAsia" w:ascii="宋体" w:hAnsi="宋体" w:cs="宋体"/>
          <w:b w:val="0"/>
          <w:bCs w:val="0"/>
          <w:color w:val="auto"/>
          <w:kern w:val="0"/>
          <w:sz w:val="21"/>
          <w:szCs w:val="21"/>
          <w:u w:val="none"/>
          <w:lang w:val="en-US" w:eastAsia="zh-CN" w:bidi="ar-SA"/>
        </w:rPr>
        <w:t>和全部履约保证</w:t>
      </w:r>
      <w:r>
        <w:rPr>
          <w:rFonts w:hint="eastAsia" w:ascii="宋体" w:hAnsi="宋体" w:eastAsia="宋体" w:cs="宋体"/>
          <w:b w:val="0"/>
          <w:bCs w:val="0"/>
          <w:color w:val="auto"/>
          <w:kern w:val="0"/>
          <w:sz w:val="21"/>
          <w:szCs w:val="21"/>
          <w:u w:val="none"/>
          <w:lang w:val="en-US" w:eastAsia="zh-CN" w:bidi="ar-SA"/>
        </w:rPr>
        <w:t>金。</w:t>
      </w:r>
    </w:p>
    <w:p w14:paraId="0840C5A5">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五、责权划分</w:t>
      </w:r>
    </w:p>
    <w:p w14:paraId="6007FA30">
      <w:pPr>
        <w:pStyle w:val="2"/>
        <w:keepNext w:val="0"/>
        <w:keepLines w:val="0"/>
        <w:pageBreakBefore w:val="0"/>
        <w:kinsoku/>
        <w:wordWrap/>
        <w:overflowPunct/>
        <w:topLinePunct w:val="0"/>
        <w:autoSpaceDE/>
        <w:autoSpaceDN/>
        <w:bidi w:val="0"/>
        <w:adjustRightInd/>
        <w:snapToGrid/>
        <w:spacing w:after="0" w:line="520" w:lineRule="exact"/>
        <w:ind w:left="0" w:leftChars="0" w:firstLine="420" w:firstLineChars="200"/>
        <w:jc w:val="left"/>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1、采购人权责</w:t>
      </w:r>
    </w:p>
    <w:p w14:paraId="5F6DC6D5">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1.1有权对中标人的工作质量、人员履职、设备使用情况进行监督、检查和考核。</w:t>
      </w:r>
    </w:p>
    <w:p w14:paraId="34C38DC5">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1.2负责提供磅房作业所需的地磅设备、办公场地、单据凭证等基础物资，并承担设备的正常维修保养费用（因中标人操作不当导致的设备损坏维修费用由中标人承担）。</w:t>
      </w:r>
    </w:p>
    <w:p w14:paraId="250AA33E">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1.3向中标人明确现场作业要求、规章制度及相关工作标准，提供必要的岗前培训和在岗期间的工作指导。</w:t>
      </w:r>
    </w:p>
    <w:p w14:paraId="5A7710BE">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1.4按照合同约定及时支付服务费用。</w:t>
      </w:r>
    </w:p>
    <w:p w14:paraId="39389C7E">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1.5有权根据合同约定终止服务合同（如考核不合格、第二年起需求调整等）。</w:t>
      </w:r>
    </w:p>
    <w:p w14:paraId="0909B108">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1.6安全责任免责：采购人不承担中标人派驻人员在上班时间内（除采购人原因引起）及上下班途中的任何安全责任。若服务人员在上班时间内（除采购人原因引起）及上下班途中发生交通事故或其他意外事件，造成人身伤亡、财产损失等一切后果，均由中标人全权承担，包括但不限于医疗费用、赔偿费用、仲裁诉讼费用等，采购人无需承担任何赔偿责任或连带责任。</w:t>
      </w:r>
    </w:p>
    <w:p w14:paraId="6286F591">
      <w:pPr>
        <w:pStyle w:val="2"/>
        <w:pageBreakBefore w:val="0"/>
        <w:kinsoku/>
        <w:wordWrap/>
        <w:overflowPunct/>
        <w:topLinePunct w:val="0"/>
        <w:autoSpaceDE/>
        <w:autoSpaceDN/>
        <w:bidi w:val="0"/>
        <w:adjustRightInd/>
        <w:snapToGrid/>
        <w:spacing w:after="0" w:line="520" w:lineRule="exact"/>
        <w:ind w:left="0" w:leftChars="0" w:firstLine="420" w:firstLineChars="200"/>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2、中标人权责</w:t>
      </w:r>
    </w:p>
    <w:p w14:paraId="52862C3F">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2.1按照合同约定配备符合要求的工作人员，确保工作人员满足岗位要求，熟练掌握相关操作技能。</w:t>
      </w:r>
    </w:p>
    <w:p w14:paraId="7D117C14">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2.2负责工作人员的日常管理，包括考勤、纪律、安全培训等，确保工作人员严格遵守采购人的现场规章制度和工作要求。</w:t>
      </w:r>
    </w:p>
    <w:p w14:paraId="2E65EC51">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2.3承担工作人员的薪酬、社保、意外险等相关费用，负责工作人员的食宿、交通等后勤保障，确保工作人员能正常履职。</w:t>
      </w:r>
    </w:p>
    <w:p w14:paraId="1B84286C">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2.4对工作过程中产生的称重数据、台账记录等资料的真实性、准确性、完整性负责，承担因数据错误、单据核对失误等导致的采购人损失。</w:t>
      </w:r>
    </w:p>
    <w:p w14:paraId="19EB2386">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2.5负责地磅设备的日常清洁与简单维护（非维修），如因操作不当导致设备损坏的，需承担维修费用或照价赔偿。</w:t>
      </w:r>
    </w:p>
    <w:p w14:paraId="6C01EA4E">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2.6接受采购人的监督、检查和考核，按照要求及时整改考核中发现的问题。</w:t>
      </w:r>
    </w:p>
    <w:p w14:paraId="24E1DBCE">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2.7无权擅自变更工作人员、调整工作时间或终止服务，如确需变更相关事项，须提前向采购人申请并获得同意后方可进行调整、变更。</w:t>
      </w:r>
    </w:p>
    <w:p w14:paraId="5CC9355B">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2.8安全责任承担：中标人应加强对派驻人员的安全管理和教育，明确上班时间内（除采购人原因引起）及上下班途中的安全注意事项。若服务人员在上班时间内（除采购人原因引起）及上下班途中发生交通事故或其他意外事件，中标人需全权负责处理相关事宜，并承担由此产生的全部责任和费用；若因此给采购人造成损失（如诉讼牵连、名誉影响等），中标人还需向采购人承担赔偿责任。</w:t>
      </w:r>
    </w:p>
    <w:p w14:paraId="7B6EF69F">
      <w:pPr>
        <w:pStyle w:val="7"/>
        <w:keepNext w:val="0"/>
        <w:keepLines w:val="0"/>
        <w:pageBreakBefore w:val="0"/>
        <w:kinsoku/>
        <w:wordWrap/>
        <w:overflowPunct/>
        <w:topLinePunct w:val="0"/>
        <w:autoSpaceDE/>
        <w:autoSpaceDN/>
        <w:bidi w:val="0"/>
        <w:adjustRightInd/>
        <w:snapToGrid/>
        <w:spacing w:before="0" w:after="0" w:line="52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val="0"/>
          <w:bCs w:val="0"/>
          <w:color w:val="auto"/>
          <w:kern w:val="0"/>
          <w:sz w:val="21"/>
          <w:szCs w:val="21"/>
          <w:u w:val="none"/>
          <w:lang w:val="en-US" w:eastAsia="zh-CN" w:bidi="ar-SA"/>
        </w:rPr>
        <w:t>2.9中标人确认：派驻人员与采购人不存在劳动关系或劳务关系，相关用工风险由中标人自行承担。</w:t>
      </w:r>
    </w:p>
    <w:p w14:paraId="6178B636">
      <w:pPr>
        <w:keepNext w:val="0"/>
        <w:keepLines w:val="0"/>
        <w:pageBreakBefore w:val="0"/>
        <w:widowControl w:val="0"/>
        <w:kinsoku/>
        <w:wordWrap/>
        <w:overflowPunct/>
        <w:topLinePunct w:val="0"/>
        <w:autoSpaceDE/>
        <w:autoSpaceDN/>
        <w:bidi w:val="0"/>
        <w:adjustRightInd/>
        <w:snapToGrid/>
        <w:spacing w:before="95" w:beforeLines="30" w:after="95" w:afterLines="30" w:line="520" w:lineRule="exact"/>
        <w:ind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六、人员配置要求</w:t>
      </w:r>
    </w:p>
    <w:p w14:paraId="1BEB43E0">
      <w:pPr>
        <w:pStyle w:val="2"/>
        <w:pageBreakBefore w:val="0"/>
        <w:kinsoku/>
        <w:wordWrap/>
        <w:overflowPunct/>
        <w:topLinePunct w:val="0"/>
        <w:autoSpaceDE/>
        <w:autoSpaceDN/>
        <w:bidi w:val="0"/>
        <w:adjustRightInd/>
        <w:snapToGrid/>
        <w:spacing w:after="0" w:line="520" w:lineRule="exact"/>
        <w:ind w:left="0" w:leftChars="0"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1、人员要求：中标人须为派驻工作人员缴纳社保及意外险等，提供完整的社保缴纳证明和意外险保单；工作人员男女性别不限，</w:t>
      </w:r>
      <w:r>
        <w:rPr>
          <w:rFonts w:hint="eastAsia" w:ascii="宋体" w:hAnsi="宋体" w:cs="宋体"/>
          <w:b w:val="0"/>
          <w:bCs w:val="0"/>
          <w:color w:val="auto"/>
          <w:kern w:val="0"/>
          <w:sz w:val="21"/>
          <w:szCs w:val="21"/>
          <w:u w:val="none"/>
          <w:lang w:val="en-US" w:eastAsia="zh-CN" w:bidi="ar-SA"/>
        </w:rPr>
        <w:t>高中学历（需提供学历证明），</w:t>
      </w:r>
      <w:r>
        <w:rPr>
          <w:rFonts w:hint="eastAsia" w:ascii="宋体" w:hAnsi="宋体" w:eastAsia="宋体" w:cs="宋体"/>
          <w:b w:val="0"/>
          <w:bCs w:val="0"/>
          <w:color w:val="auto"/>
          <w:kern w:val="0"/>
          <w:sz w:val="21"/>
          <w:szCs w:val="21"/>
          <w:u w:val="none"/>
          <w:lang w:val="en-US" w:eastAsia="zh-CN" w:bidi="ar-SA"/>
        </w:rPr>
        <w:t>年龄在45周岁以内，身体健康，无重大疾病或职业禁忌症，需提供健康体检证明（证明需涵盖肝炎、肺结核等项目）。</w:t>
      </w:r>
    </w:p>
    <w:p w14:paraId="56BD7413">
      <w:pPr>
        <w:pStyle w:val="2"/>
        <w:pageBreakBefore w:val="0"/>
        <w:kinsoku/>
        <w:wordWrap/>
        <w:overflowPunct/>
        <w:topLinePunct w:val="0"/>
        <w:autoSpaceDE/>
        <w:autoSpaceDN/>
        <w:bidi w:val="0"/>
        <w:adjustRightInd/>
        <w:snapToGrid/>
        <w:spacing w:after="0" w:line="520" w:lineRule="exact"/>
        <w:ind w:left="0" w:leftChars="0"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2、技能要求：熟练掌握地磅设备的操作方法（采购人提供必要的岗前培训），能准确、快速完成车辆称重作业；熟练使用电子表格（如Excel）等办公工具，能高效完成称重数据的录入、整理、核对工作。</w:t>
      </w:r>
    </w:p>
    <w:p w14:paraId="0E70B616">
      <w:pPr>
        <w:pStyle w:val="2"/>
        <w:pageBreakBefore w:val="0"/>
        <w:kinsoku/>
        <w:wordWrap/>
        <w:overflowPunct/>
        <w:topLinePunct w:val="0"/>
        <w:autoSpaceDE/>
        <w:autoSpaceDN/>
        <w:bidi w:val="0"/>
        <w:adjustRightInd/>
        <w:snapToGrid/>
        <w:spacing w:after="0" w:line="520" w:lineRule="exact"/>
        <w:ind w:left="0" w:leftChars="0" w:firstLine="420" w:firstLineChars="200"/>
        <w:jc w:val="left"/>
        <w:rPr>
          <w:rFonts w:hint="eastAsia" w:ascii="宋体" w:hAnsi="宋体" w:eastAsia="宋体" w:cs="宋体"/>
          <w:b w:val="0"/>
          <w:bCs w:val="0"/>
          <w:color w:val="auto"/>
          <w:kern w:val="0"/>
          <w:sz w:val="21"/>
          <w:szCs w:val="21"/>
          <w:u w:val="none"/>
          <w:lang w:val="en-US" w:eastAsia="zh-CN" w:bidi="ar-SA"/>
        </w:rPr>
      </w:pPr>
      <w:r>
        <w:rPr>
          <w:rFonts w:hint="eastAsia" w:ascii="宋体" w:hAnsi="宋体" w:eastAsia="宋体" w:cs="宋体"/>
          <w:b w:val="0"/>
          <w:bCs w:val="0"/>
          <w:color w:val="auto"/>
          <w:kern w:val="0"/>
          <w:sz w:val="21"/>
          <w:szCs w:val="21"/>
          <w:u w:val="none"/>
          <w:lang w:val="en-US" w:eastAsia="zh-CN" w:bidi="ar-SA"/>
        </w:rPr>
        <w:t>3、工作适应能力：能适应夜班制度，</w:t>
      </w:r>
      <w:r>
        <w:rPr>
          <w:rFonts w:hint="eastAsia" w:ascii="宋体" w:hAnsi="宋体" w:cs="宋体"/>
          <w:b w:val="0"/>
          <w:bCs w:val="0"/>
          <w:color w:val="auto"/>
          <w:kern w:val="0"/>
          <w:sz w:val="21"/>
          <w:szCs w:val="21"/>
          <w:u w:val="none"/>
          <w:lang w:val="en-US" w:eastAsia="zh-CN" w:bidi="ar-SA"/>
        </w:rPr>
        <w:t>必须</w:t>
      </w:r>
      <w:r>
        <w:rPr>
          <w:rFonts w:hint="eastAsia" w:ascii="宋体" w:hAnsi="宋体" w:eastAsia="宋体" w:cs="宋体"/>
          <w:b w:val="0"/>
          <w:bCs w:val="0"/>
          <w:color w:val="auto"/>
          <w:kern w:val="0"/>
          <w:sz w:val="21"/>
          <w:szCs w:val="21"/>
          <w:u w:val="none"/>
          <w:lang w:val="en-US" w:eastAsia="zh-CN" w:bidi="ar-SA"/>
        </w:rPr>
        <w:t>提供24小时在岗服务，具体工作时间根据现场实际生产计划灵活调整。</w:t>
      </w:r>
    </w:p>
    <w:p w14:paraId="7E9C30FE">
      <w:pPr>
        <w:pStyle w:val="2"/>
        <w:pageBreakBefore w:val="0"/>
        <w:kinsoku/>
        <w:wordWrap/>
        <w:overflowPunct/>
        <w:topLinePunct w:val="0"/>
        <w:autoSpaceDE/>
        <w:autoSpaceDN/>
        <w:bidi w:val="0"/>
        <w:adjustRightInd/>
        <w:snapToGrid/>
        <w:spacing w:after="0" w:line="520" w:lineRule="exact"/>
        <w:ind w:left="0" w:leftChars="0" w:firstLine="420" w:firstLineChars="200"/>
        <w:jc w:val="left"/>
        <w:rPr>
          <w:rFonts w:hint="eastAsia" w:ascii="仿宋" w:hAnsi="仿宋" w:eastAsia="仿宋" w:cs="仿宋"/>
          <w:b w:val="0"/>
          <w:bCs w:val="0"/>
          <w:color w:val="auto"/>
          <w:kern w:val="0"/>
          <w:sz w:val="28"/>
          <w:szCs w:val="28"/>
          <w:u w:val="none"/>
          <w:lang w:val="en-US" w:eastAsia="zh-CN" w:bidi="ar-SA"/>
        </w:rPr>
      </w:pPr>
      <w:r>
        <w:rPr>
          <w:rFonts w:hint="eastAsia" w:ascii="宋体" w:hAnsi="宋体" w:eastAsia="宋体" w:cs="宋体"/>
          <w:b w:val="0"/>
          <w:bCs w:val="0"/>
          <w:color w:val="auto"/>
          <w:kern w:val="0"/>
          <w:sz w:val="21"/>
          <w:szCs w:val="21"/>
          <w:u w:val="none"/>
          <w:lang w:val="en-US" w:eastAsia="zh-CN" w:bidi="ar-SA"/>
        </w:rPr>
        <w:t>4、职业素养：工作认真负责、严谨细致，具备良好的沟通协调能力和服务意识，无不良从业记录。</w:t>
      </w:r>
    </w:p>
    <w:p w14:paraId="4A71531C">
      <w:pPr>
        <w:spacing w:line="500" w:lineRule="exact"/>
        <w:ind w:firstLine="420" w:firstLineChars="200"/>
        <w:jc w:val="left"/>
        <w:rPr>
          <w:rFonts w:ascii="宋体" w:hAnsi="宋体" w:cs="宋体"/>
          <w:color w:val="auto"/>
          <w:szCs w:val="21"/>
        </w:rPr>
      </w:pPr>
    </w:p>
    <w:p w14:paraId="76458B0C">
      <w:pPr>
        <w:rPr>
          <w:rFonts w:ascii="宋体"/>
          <w:b/>
          <w:color w:val="auto"/>
          <w:sz w:val="32"/>
          <w:szCs w:val="32"/>
        </w:rPr>
      </w:pPr>
      <w:r>
        <w:rPr>
          <w:rFonts w:hint="eastAsia" w:ascii="宋体" w:hAnsi="宋体" w:cs="宋体"/>
          <w:color w:val="auto"/>
          <w:szCs w:val="21"/>
        </w:rPr>
        <w:br w:type="page"/>
      </w:r>
    </w:p>
    <w:p w14:paraId="53838467">
      <w:pPr>
        <w:spacing w:line="360" w:lineRule="auto"/>
        <w:jc w:val="center"/>
        <w:outlineLvl w:val="1"/>
        <w:rPr>
          <w:rFonts w:ascii="宋体" w:hAnsi="宋体" w:eastAsia="宋体"/>
          <w:b/>
          <w:color w:val="000000"/>
          <w:sz w:val="24"/>
        </w:rPr>
      </w:pPr>
      <w:r>
        <w:rPr>
          <w:rFonts w:hint="eastAsia" w:ascii="宋体"/>
          <w:b/>
          <w:color w:val="auto"/>
          <w:sz w:val="32"/>
          <w:szCs w:val="32"/>
        </w:rPr>
        <w:t>第五章  合同条款</w:t>
      </w:r>
    </w:p>
    <w:p w14:paraId="7E4936B0">
      <w:pPr>
        <w:spacing w:line="480" w:lineRule="auto"/>
        <w:jc w:val="center"/>
        <w:rPr>
          <w:rFonts w:hint="eastAsia"/>
          <w:sz w:val="32"/>
          <w:szCs w:val="32"/>
          <w:u w:val="none"/>
          <w:lang w:eastAsia="zh-CN"/>
        </w:rPr>
      </w:pPr>
    </w:p>
    <w:p w14:paraId="40019BCC">
      <w:pPr>
        <w:spacing w:line="480" w:lineRule="auto"/>
        <w:jc w:val="center"/>
        <w:rPr>
          <w:rFonts w:hint="eastAsia"/>
          <w:sz w:val="32"/>
          <w:szCs w:val="32"/>
          <w:u w:val="none"/>
          <w:lang w:eastAsia="zh-CN"/>
        </w:rPr>
      </w:pPr>
    </w:p>
    <w:p w14:paraId="4F76011C">
      <w:pPr>
        <w:spacing w:line="480" w:lineRule="auto"/>
        <w:jc w:val="center"/>
        <w:rPr>
          <w:rFonts w:hint="eastAsia"/>
          <w:sz w:val="32"/>
          <w:szCs w:val="32"/>
          <w:u w:val="none"/>
          <w:lang w:eastAsia="zh-CN"/>
        </w:rPr>
      </w:pPr>
    </w:p>
    <w:p w14:paraId="5EA8E9B3">
      <w:pPr>
        <w:pStyle w:val="4"/>
        <w:bidi w:val="0"/>
        <w:jc w:val="center"/>
        <w:rPr>
          <w:rFonts w:hint="eastAsia" w:ascii="黑体" w:hAnsi="黑体" w:eastAsia="黑体" w:cs="黑体"/>
          <w:lang w:eastAsia="zh-CN"/>
        </w:rPr>
      </w:pPr>
      <w:r>
        <w:rPr>
          <w:rFonts w:hint="eastAsia" w:ascii="黑体" w:hAnsi="黑体" w:eastAsia="黑体" w:cs="黑体"/>
          <w:lang w:eastAsia="zh-CN"/>
        </w:rPr>
        <w:t>滁州市兴滁实业有限公司</w:t>
      </w:r>
    </w:p>
    <w:p w14:paraId="2CA2E972">
      <w:pPr>
        <w:pStyle w:val="4"/>
        <w:bidi w:val="0"/>
        <w:jc w:val="center"/>
        <w:rPr>
          <w:rFonts w:hint="eastAsia" w:ascii="黑体" w:hAnsi="黑体" w:eastAsia="黑体" w:cs="黑体"/>
          <w:lang w:val="en-US"/>
        </w:rPr>
      </w:pPr>
      <w:r>
        <w:rPr>
          <w:rFonts w:hint="eastAsia" w:ascii="黑体" w:hAnsi="黑体" w:eastAsia="黑体" w:cs="黑体"/>
          <w:lang w:eastAsia="zh-CN"/>
        </w:rPr>
        <w:t>磅房工作外包服务采购项</w:t>
      </w:r>
      <w:r>
        <w:rPr>
          <w:rFonts w:hint="eastAsia" w:ascii="黑体" w:hAnsi="黑体" w:eastAsia="黑体" w:cs="黑体"/>
          <w:lang w:val="en-US" w:eastAsia="zh-CN"/>
        </w:rPr>
        <w:t>目合同</w:t>
      </w:r>
    </w:p>
    <w:p w14:paraId="266E8C18">
      <w:pPr>
        <w:spacing w:line="240" w:lineRule="auto"/>
        <w:jc w:val="center"/>
        <w:rPr>
          <w:rFonts w:ascii="宋体" w:hAnsi="宋体" w:eastAsia="宋体" w:cs="Times New Roman"/>
          <w:b/>
          <w:color w:val="000000"/>
          <w:sz w:val="24"/>
          <w:szCs w:val="24"/>
        </w:rPr>
      </w:pPr>
    </w:p>
    <w:p w14:paraId="7AAD84DC">
      <w:pPr>
        <w:pStyle w:val="16"/>
      </w:pPr>
    </w:p>
    <w:p w14:paraId="05AB0DD2">
      <w:pPr>
        <w:pStyle w:val="16"/>
      </w:pPr>
    </w:p>
    <w:p w14:paraId="101CCDC4">
      <w:pPr>
        <w:pStyle w:val="16"/>
      </w:pPr>
    </w:p>
    <w:p w14:paraId="4A09356D">
      <w:pPr>
        <w:pStyle w:val="16"/>
      </w:pPr>
    </w:p>
    <w:p w14:paraId="45F36399">
      <w:pPr>
        <w:pStyle w:val="16"/>
      </w:pPr>
    </w:p>
    <w:p w14:paraId="04C9500D">
      <w:pPr>
        <w:pStyle w:val="16"/>
      </w:pPr>
    </w:p>
    <w:p w14:paraId="1E4A2F98">
      <w:pPr>
        <w:pStyle w:val="16"/>
      </w:pPr>
    </w:p>
    <w:p w14:paraId="15BECC00">
      <w:pPr>
        <w:pStyle w:val="16"/>
      </w:pPr>
    </w:p>
    <w:p w14:paraId="426630EC">
      <w:pPr>
        <w:pStyle w:val="16"/>
      </w:pPr>
    </w:p>
    <w:p w14:paraId="64163590">
      <w:pPr>
        <w:spacing w:line="360" w:lineRule="auto"/>
        <w:ind w:left="2518" w:leftChars="0" w:hanging="2518" w:hangingChars="787"/>
        <w:jc w:val="left"/>
        <w:rPr>
          <w:rFonts w:hint="eastAsia"/>
          <w:sz w:val="32"/>
          <w:szCs w:val="32"/>
          <w:lang w:val="en-US" w:eastAsia="zh-CN"/>
        </w:rPr>
      </w:pPr>
      <w:r>
        <w:rPr>
          <w:rFonts w:hint="eastAsia"/>
          <w:sz w:val="32"/>
          <w:szCs w:val="32"/>
        </w:rPr>
        <w:t>项</w:t>
      </w:r>
      <w:r>
        <w:rPr>
          <w:rFonts w:hint="eastAsia"/>
          <w:sz w:val="32"/>
          <w:szCs w:val="32"/>
          <w:lang w:val="en-US" w:eastAsia="zh-CN"/>
        </w:rPr>
        <w:t xml:space="preserve">  </w:t>
      </w:r>
      <w:r>
        <w:rPr>
          <w:rFonts w:hint="eastAsia"/>
          <w:sz w:val="32"/>
          <w:szCs w:val="32"/>
        </w:rPr>
        <w:t>目</w:t>
      </w:r>
      <w:r>
        <w:rPr>
          <w:rFonts w:hint="eastAsia"/>
          <w:sz w:val="32"/>
          <w:szCs w:val="32"/>
          <w:lang w:val="en-US" w:eastAsia="zh-CN"/>
        </w:rPr>
        <w:t xml:space="preserve">  </w:t>
      </w:r>
      <w:r>
        <w:rPr>
          <w:rFonts w:hint="eastAsia"/>
          <w:sz w:val="32"/>
          <w:szCs w:val="32"/>
        </w:rPr>
        <w:t>名</w:t>
      </w:r>
      <w:r>
        <w:rPr>
          <w:rFonts w:hint="eastAsia"/>
          <w:sz w:val="32"/>
          <w:szCs w:val="32"/>
          <w:lang w:val="en-US" w:eastAsia="zh-CN"/>
        </w:rPr>
        <w:t xml:space="preserve">  </w:t>
      </w:r>
      <w:r>
        <w:rPr>
          <w:rFonts w:hint="eastAsia"/>
          <w:sz w:val="32"/>
          <w:szCs w:val="32"/>
        </w:rPr>
        <w:t>称：</w:t>
      </w:r>
      <w:r>
        <w:rPr>
          <w:rFonts w:hint="eastAsia"/>
          <w:sz w:val="32"/>
          <w:szCs w:val="32"/>
          <w:u w:val="single"/>
          <w:lang w:eastAsia="zh-CN"/>
        </w:rPr>
        <w:t>滁州市兴滁实业有限公司磅房工作外包服务采购项</w:t>
      </w:r>
      <w:r>
        <w:rPr>
          <w:rFonts w:hint="eastAsia"/>
          <w:sz w:val="32"/>
          <w:szCs w:val="32"/>
          <w:u w:val="single"/>
          <w:lang w:val="en-US" w:eastAsia="zh-CN"/>
        </w:rPr>
        <w:t>目</w:t>
      </w:r>
    </w:p>
    <w:p w14:paraId="398A19F4">
      <w:pPr>
        <w:spacing w:line="360" w:lineRule="auto"/>
        <w:rPr>
          <w:rFonts w:hint="default"/>
          <w:sz w:val="32"/>
          <w:szCs w:val="32"/>
          <w:u w:val="single"/>
          <w:lang w:val="en-US" w:eastAsia="zh-CN"/>
        </w:rPr>
      </w:pPr>
      <w:r>
        <w:rPr>
          <w:rFonts w:hint="eastAsia"/>
          <w:sz w:val="32"/>
          <w:szCs w:val="32"/>
        </w:rPr>
        <w:t>甲方（采购人）：</w:t>
      </w:r>
      <w:r>
        <w:rPr>
          <w:rFonts w:hint="eastAsia"/>
          <w:sz w:val="32"/>
          <w:szCs w:val="32"/>
          <w:u w:val="single"/>
        </w:rPr>
        <w:t xml:space="preserve"> </w:t>
      </w:r>
      <w:r>
        <w:rPr>
          <w:rFonts w:hint="eastAsia"/>
          <w:sz w:val="32"/>
          <w:szCs w:val="32"/>
          <w:u w:val="single"/>
          <w:lang w:val="en-US" w:eastAsia="zh-CN"/>
        </w:rPr>
        <w:t xml:space="preserve">滁州市兴滁实业有限公司 </w:t>
      </w:r>
    </w:p>
    <w:p w14:paraId="587648FD">
      <w:pPr>
        <w:spacing w:line="360" w:lineRule="auto"/>
        <w:rPr>
          <w:rFonts w:hint="default"/>
          <w:sz w:val="32"/>
          <w:szCs w:val="32"/>
          <w:u w:val="none"/>
          <w:lang w:val="en-US" w:eastAsia="zh-CN"/>
        </w:rPr>
      </w:pPr>
      <w:r>
        <w:rPr>
          <w:rFonts w:hint="eastAsia"/>
          <w:sz w:val="32"/>
          <w:szCs w:val="32"/>
        </w:rPr>
        <w:t>乙方（中标人）：</w:t>
      </w:r>
      <w:r>
        <w:rPr>
          <w:rFonts w:hint="eastAsia"/>
          <w:sz w:val="32"/>
          <w:szCs w:val="32"/>
          <w:u w:val="single"/>
          <w:lang w:val="en-US" w:eastAsia="zh-CN"/>
        </w:rPr>
        <w:t xml:space="preserve">                        </w:t>
      </w:r>
    </w:p>
    <w:p w14:paraId="00C0E583">
      <w:pPr>
        <w:spacing w:line="360" w:lineRule="auto"/>
        <w:rPr>
          <w:rFonts w:hint="default"/>
          <w:sz w:val="32"/>
          <w:szCs w:val="32"/>
          <w:u w:val="single"/>
          <w:lang w:val="en-US" w:eastAsia="zh-CN"/>
        </w:rPr>
      </w:pPr>
      <w:r>
        <w:rPr>
          <w:rFonts w:hint="eastAsia"/>
          <w:sz w:val="32"/>
          <w:szCs w:val="32"/>
        </w:rPr>
        <w:t>签</w:t>
      </w:r>
      <w:r>
        <w:rPr>
          <w:rFonts w:hint="eastAsia"/>
          <w:sz w:val="32"/>
          <w:szCs w:val="32"/>
          <w:lang w:val="en-US" w:eastAsia="zh-CN"/>
        </w:rPr>
        <w:t xml:space="preserve">    </w:t>
      </w:r>
      <w:r>
        <w:rPr>
          <w:rFonts w:hint="eastAsia"/>
          <w:sz w:val="32"/>
          <w:szCs w:val="32"/>
        </w:rPr>
        <w:t>订</w:t>
      </w:r>
      <w:r>
        <w:rPr>
          <w:rFonts w:hint="eastAsia"/>
          <w:sz w:val="32"/>
          <w:szCs w:val="32"/>
          <w:lang w:val="en-US" w:eastAsia="zh-CN"/>
        </w:rPr>
        <w:t xml:space="preserve">    </w:t>
      </w:r>
      <w:r>
        <w:rPr>
          <w:rFonts w:hint="eastAsia"/>
          <w:sz w:val="32"/>
          <w:szCs w:val="32"/>
        </w:rPr>
        <w:t>地：</w:t>
      </w:r>
      <w:r>
        <w:rPr>
          <w:rFonts w:hint="eastAsia"/>
          <w:sz w:val="32"/>
          <w:szCs w:val="32"/>
          <w:u w:val="single"/>
          <w:lang w:val="en-US" w:eastAsia="zh-CN"/>
        </w:rPr>
        <w:t xml:space="preserve"> 安徽.滁州 </w:t>
      </w:r>
    </w:p>
    <w:p w14:paraId="2723A63E">
      <w:pPr>
        <w:spacing w:line="360" w:lineRule="auto"/>
        <w:rPr>
          <w:rFonts w:hint="eastAsia"/>
          <w:sz w:val="32"/>
          <w:szCs w:val="32"/>
        </w:rPr>
      </w:pPr>
      <w:r>
        <w:rPr>
          <w:rFonts w:hint="eastAsia"/>
          <w:sz w:val="32"/>
          <w:szCs w:val="32"/>
        </w:rPr>
        <w:t>签</w:t>
      </w:r>
      <w:r>
        <w:rPr>
          <w:rFonts w:hint="eastAsia"/>
          <w:sz w:val="32"/>
          <w:szCs w:val="32"/>
          <w:lang w:val="en-US" w:eastAsia="zh-CN"/>
        </w:rPr>
        <w:t xml:space="preserve">  </w:t>
      </w:r>
      <w:r>
        <w:rPr>
          <w:rFonts w:hint="eastAsia"/>
          <w:sz w:val="32"/>
          <w:szCs w:val="32"/>
        </w:rPr>
        <w:t>订</w:t>
      </w:r>
      <w:r>
        <w:rPr>
          <w:rFonts w:hint="eastAsia"/>
          <w:sz w:val="32"/>
          <w:szCs w:val="32"/>
          <w:lang w:val="en-US" w:eastAsia="zh-CN"/>
        </w:rPr>
        <w:t xml:space="preserve">  </w:t>
      </w:r>
      <w:r>
        <w:rPr>
          <w:rFonts w:hint="eastAsia"/>
          <w:sz w:val="32"/>
          <w:szCs w:val="32"/>
        </w:rPr>
        <w:t>日</w:t>
      </w:r>
      <w:r>
        <w:rPr>
          <w:rFonts w:hint="eastAsia"/>
          <w:sz w:val="32"/>
          <w:szCs w:val="32"/>
          <w:lang w:val="en-US" w:eastAsia="zh-CN"/>
        </w:rPr>
        <w:t xml:space="preserve">  </w:t>
      </w:r>
      <w:r>
        <w:rPr>
          <w:rFonts w:hint="eastAsia"/>
          <w:sz w:val="32"/>
          <w:szCs w:val="32"/>
        </w:rPr>
        <w:t>期：</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lang w:val="en-US" w:eastAsia="zh-CN"/>
        </w:rPr>
        <w:t xml:space="preserve">       </w:t>
      </w:r>
      <w:r>
        <w:rPr>
          <w:rFonts w:hint="eastAsia"/>
          <w:sz w:val="32"/>
          <w:szCs w:val="32"/>
          <w:u w:val="none"/>
          <w:lang w:val="en-US" w:eastAsia="zh-CN"/>
        </w:rPr>
        <w:t>日</w:t>
      </w:r>
      <w:r>
        <w:rPr>
          <w:rFonts w:hint="eastAsia"/>
          <w:sz w:val="32"/>
          <w:szCs w:val="32"/>
          <w:u w:val="none"/>
        </w:rPr>
        <w:t xml:space="preserve"> </w:t>
      </w:r>
      <w:r>
        <w:rPr>
          <w:rFonts w:hint="eastAsia"/>
          <w:sz w:val="32"/>
          <w:szCs w:val="32"/>
        </w:rPr>
        <w:t xml:space="preserve">     </w:t>
      </w:r>
    </w:p>
    <w:p w14:paraId="42461AF9">
      <w:pPr>
        <w:pStyle w:val="2"/>
        <w:ind w:left="0" w:leftChars="0" w:firstLine="0" w:firstLineChars="0"/>
        <w:rPr>
          <w:rFonts w:hint="eastAsia"/>
          <w:sz w:val="32"/>
          <w:szCs w:val="32"/>
        </w:rPr>
      </w:pPr>
    </w:p>
    <w:p w14:paraId="1CEEFA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甲方（采购人）：</w:t>
      </w:r>
      <w:r>
        <w:rPr>
          <w:rFonts w:hint="eastAsia" w:ascii="宋体" w:hAnsi="宋体" w:eastAsia="宋体" w:cs="宋体"/>
          <w:sz w:val="28"/>
          <w:szCs w:val="28"/>
          <w:u w:val="single"/>
          <w:lang w:val="en-US" w:eastAsia="zh-CN"/>
        </w:rPr>
        <w:t>滁州市兴滁实业有限公司</w:t>
      </w:r>
    </w:p>
    <w:p w14:paraId="1F95132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乙方（中标人）：</w:t>
      </w:r>
      <w:r>
        <w:rPr>
          <w:rFonts w:hint="eastAsia" w:ascii="宋体" w:hAnsi="宋体" w:eastAsia="宋体" w:cs="宋体"/>
          <w:sz w:val="28"/>
          <w:szCs w:val="28"/>
          <w:u w:val="single"/>
          <w:lang w:val="en-US" w:eastAsia="zh-CN"/>
        </w:rPr>
        <w:t xml:space="preserve">                      </w:t>
      </w:r>
    </w:p>
    <w:p w14:paraId="1F39BE7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依据《中华人民共和国民法典》及相关法律法规，甲乙双方本着平等自愿、公平诚信原则，就乙方为甲方提供磅房工作外包服务事宜，订立本合同，以资共同信守。</w:t>
      </w:r>
    </w:p>
    <w:p w14:paraId="08EC541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第一条 服务标的与内容</w:t>
      </w:r>
    </w:p>
    <w:p w14:paraId="1DDA93D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val="0"/>
          <w:sz w:val="28"/>
          <w:szCs w:val="28"/>
        </w:rPr>
        <w:t>服务标的</w:t>
      </w:r>
      <w:r>
        <w:rPr>
          <w:rFonts w:hint="eastAsia" w:ascii="宋体" w:hAnsi="宋体" w:eastAsia="宋体" w:cs="宋体"/>
          <w:sz w:val="28"/>
          <w:szCs w:val="28"/>
        </w:rPr>
        <w:t>：磅房工作全年外包服务，含人员派驻、工作执行、后勤保障等全流程服务。</w:t>
      </w:r>
    </w:p>
    <w:p w14:paraId="70337A6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val="0"/>
          <w:sz w:val="28"/>
          <w:szCs w:val="28"/>
        </w:rPr>
        <w:t>服务地点</w:t>
      </w:r>
      <w:r>
        <w:rPr>
          <w:rFonts w:hint="eastAsia" w:ascii="宋体" w:hAnsi="宋体" w:eastAsia="宋体" w:cs="宋体"/>
          <w:sz w:val="28"/>
          <w:szCs w:val="28"/>
        </w:rPr>
        <w:t>：甲方指定</w:t>
      </w:r>
      <w:r>
        <w:rPr>
          <w:rFonts w:hint="eastAsia" w:ascii="宋体" w:hAnsi="宋体" w:eastAsia="宋体" w:cs="宋体"/>
          <w:sz w:val="28"/>
          <w:szCs w:val="28"/>
          <w:lang w:val="en-US" w:eastAsia="zh-CN"/>
        </w:rPr>
        <w:t>地点</w:t>
      </w:r>
      <w:r>
        <w:rPr>
          <w:rFonts w:hint="eastAsia" w:ascii="宋体" w:hAnsi="宋体" w:eastAsia="宋体" w:cs="宋体"/>
          <w:sz w:val="28"/>
          <w:szCs w:val="28"/>
        </w:rPr>
        <w:t>。</w:t>
      </w:r>
    </w:p>
    <w:p w14:paraId="5BB5962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val="0"/>
          <w:sz w:val="28"/>
          <w:szCs w:val="28"/>
        </w:rPr>
        <w:t>工作内容：</w:t>
      </w:r>
    </w:p>
    <w:p w14:paraId="22CBFD1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严格按照现场作业需求，对进出磅房的所有车辆进行毛重、净重、皮重的精准称重，确保称重数据无误差。</w:t>
      </w:r>
    </w:p>
    <w:p w14:paraId="296EA9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详细、准确记录每笔称重业务的相关信息，包括但不限于车辆号牌、称重时间、货物名称、毛重、皮重、净重、发货单编号等，形成完整的称重记录台账。</w:t>
      </w:r>
    </w:p>
    <w:p w14:paraId="1241E8C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 负责对进出库的各品类石料与发货单（或收货单）进行“物、单” 核对，确认货物品类、规格、数量与单据信息一致，杜绝错发、漏发等情况。</w:t>
      </w:r>
    </w:p>
    <w:p w14:paraId="441DA4E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lang w:val="en-US" w:eastAsia="zh-CN"/>
        </w:rPr>
        <w:t xml:space="preserve">4. </w:t>
      </w:r>
      <w:r>
        <w:rPr>
          <w:rFonts w:hint="eastAsia" w:ascii="宋体" w:hAnsi="宋体" w:eastAsia="宋体" w:cs="宋体"/>
          <w:color w:val="auto"/>
          <w:sz w:val="28"/>
          <w:szCs w:val="28"/>
          <w:highlight w:val="none"/>
          <w:lang w:val="en-US" w:eastAsia="zh-CN"/>
        </w:rPr>
        <w:t>配合甲方现场管理人员的工作安排，完成与称重相关的其他辅助性工作，如货物外观初步检查、车辆进出引导、磅房卫生等。</w:t>
      </w:r>
    </w:p>
    <w:p w14:paraId="3EF6B89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第二条 服务期限</w:t>
      </w:r>
    </w:p>
    <w:p w14:paraId="1DB623E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总服务期限</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3</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年，合同一年一签。</w:t>
      </w:r>
    </w:p>
    <w:p w14:paraId="3ED626A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第一年：甲方按月考核</w:t>
      </w:r>
      <w:r>
        <w:rPr>
          <w:rFonts w:hint="eastAsia" w:ascii="宋体" w:hAnsi="宋体" w:cs="宋体"/>
          <w:color w:val="auto"/>
          <w:sz w:val="28"/>
          <w:szCs w:val="28"/>
          <w:highlight w:val="none"/>
          <w:lang w:val="en-US" w:eastAsia="zh-CN"/>
        </w:rPr>
        <w:t>乙方</w:t>
      </w:r>
      <w:r>
        <w:rPr>
          <w:rFonts w:hint="eastAsia" w:ascii="宋体" w:hAnsi="宋体" w:eastAsia="宋体" w:cs="宋体"/>
          <w:color w:val="auto"/>
          <w:sz w:val="28"/>
          <w:szCs w:val="28"/>
          <w:highlight w:val="none"/>
        </w:rPr>
        <w:t>，考核合格且无重大过错，甲方不得无故终止合同。</w:t>
      </w:r>
    </w:p>
    <w:p w14:paraId="4A45187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第二年及以后：甲方有权根据现场工作需求量随时终止合同，无需承担额外违约责任。</w:t>
      </w:r>
    </w:p>
    <w:p w14:paraId="081F07C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r>
        <w:rPr>
          <w:rFonts w:hint="eastAsia" w:ascii="宋体" w:hAnsi="宋体" w:cs="宋体"/>
          <w:color w:val="auto"/>
          <w:sz w:val="28"/>
          <w:szCs w:val="28"/>
          <w:highlight w:val="none"/>
          <w:lang w:val="en-US" w:eastAsia="zh-CN"/>
        </w:rPr>
        <w:t>累计2次</w:t>
      </w:r>
      <w:r>
        <w:rPr>
          <w:rFonts w:hint="eastAsia" w:ascii="宋体" w:hAnsi="宋体" w:eastAsia="宋体" w:cs="宋体"/>
          <w:color w:val="auto"/>
          <w:sz w:val="28"/>
          <w:szCs w:val="28"/>
          <w:highlight w:val="none"/>
        </w:rPr>
        <w:t>考核不合格，甲方</w:t>
      </w:r>
      <w:r>
        <w:rPr>
          <w:rFonts w:hint="eastAsia" w:ascii="宋体" w:hAnsi="宋体" w:eastAsia="宋体" w:cs="宋体"/>
          <w:bCs/>
          <w:color w:val="auto"/>
          <w:kern w:val="0"/>
          <w:sz w:val="28"/>
          <w:szCs w:val="28"/>
          <w:highlight w:val="none"/>
          <w:u w:val="none"/>
          <w:lang w:val="en-US" w:eastAsia="zh-CN" w:bidi="ar-SA"/>
        </w:rPr>
        <w:t>有权终止合同，扣除当期服务费用的20%和全部履约保证金。</w:t>
      </w:r>
    </w:p>
    <w:p w14:paraId="5B86FEC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第三条 服务费用与结算</w:t>
      </w:r>
    </w:p>
    <w:p w14:paraId="18337D4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bCs w:val="0"/>
          <w:color w:val="auto"/>
          <w:sz w:val="28"/>
          <w:szCs w:val="28"/>
          <w:highlight w:val="none"/>
        </w:rPr>
        <w:t>费用标准</w:t>
      </w:r>
      <w:r>
        <w:rPr>
          <w:rFonts w:hint="eastAsia" w:ascii="宋体" w:hAnsi="宋体" w:eastAsia="宋体" w:cs="宋体"/>
          <w:color w:val="auto"/>
          <w:sz w:val="28"/>
          <w:szCs w:val="28"/>
          <w:highlight w:val="none"/>
        </w:rPr>
        <w:t>：年度服务费用人民</w:t>
      </w:r>
      <w:r>
        <w:rPr>
          <w:rFonts w:hint="eastAsia" w:ascii="宋体" w:hAnsi="宋体" w:eastAsia="宋体" w:cs="宋体"/>
          <w:color w:val="auto"/>
          <w:sz w:val="28"/>
          <w:szCs w:val="28"/>
          <w:highlight w:val="none"/>
          <w:lang w:val="en-US" w:eastAsia="zh-CN"/>
        </w:rPr>
        <w:t>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元/年/磅房（大写：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此价</w:t>
      </w:r>
      <w:r>
        <w:rPr>
          <w:rFonts w:hint="eastAsia" w:ascii="宋体" w:hAnsi="宋体" w:eastAsia="宋体" w:cs="宋体"/>
          <w:color w:val="auto"/>
          <w:sz w:val="28"/>
          <w:szCs w:val="28"/>
          <w:highlight w:val="none"/>
        </w:rPr>
        <w:t>为全包价，涵盖人员薪酬、社保、意外险、食宿、交通、管理费等一切支出，甲方不额外支付任何费用。</w:t>
      </w:r>
      <w:r>
        <w:rPr>
          <w:rFonts w:hint="eastAsia" w:ascii="宋体" w:hAnsi="宋体" w:cs="宋体"/>
          <w:color w:val="auto"/>
          <w:sz w:val="28"/>
          <w:szCs w:val="28"/>
          <w:highlight w:val="none"/>
          <w:lang w:val="en-US" w:eastAsia="zh-CN"/>
        </w:rPr>
        <w:t>具体磅房数量以实际发生数量为准。每年每磅房的服务费不予调整。</w:t>
      </w:r>
    </w:p>
    <w:p w14:paraId="0B7BDECB">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val="0"/>
          <w:color w:val="auto"/>
          <w:sz w:val="28"/>
          <w:szCs w:val="28"/>
          <w:highlight w:val="none"/>
        </w:rPr>
        <w:t>薪酬社保</w:t>
      </w:r>
      <w:r>
        <w:rPr>
          <w:rFonts w:hint="eastAsia" w:ascii="宋体" w:hAnsi="宋体" w:eastAsia="宋体" w:cs="宋体"/>
          <w:color w:val="auto"/>
          <w:sz w:val="28"/>
          <w:szCs w:val="28"/>
          <w:highlight w:val="none"/>
        </w:rPr>
        <w:t>：乙方按国家及滁州市相关标准按时发放工资、缴纳社保；滁州市最低工资及社保标准调整时，乙方应同步调整。</w:t>
      </w:r>
    </w:p>
    <w:p w14:paraId="56973CD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val="0"/>
          <w:sz w:val="28"/>
          <w:szCs w:val="28"/>
        </w:rPr>
        <w:t>结算方式</w:t>
      </w:r>
      <w:r>
        <w:rPr>
          <w:rFonts w:hint="eastAsia" w:ascii="宋体" w:hAnsi="宋体" w:eastAsia="宋体" w:cs="宋体"/>
          <w:sz w:val="28"/>
          <w:szCs w:val="28"/>
        </w:rPr>
        <w:t>：按月</w:t>
      </w:r>
      <w:r>
        <w:rPr>
          <w:rFonts w:hint="eastAsia" w:ascii="宋体" w:hAnsi="宋体" w:eastAsia="宋体" w:cs="宋体"/>
          <w:sz w:val="28"/>
          <w:szCs w:val="28"/>
          <w:lang w:val="en-US" w:eastAsia="zh-CN"/>
        </w:rPr>
        <w:t>据实</w:t>
      </w:r>
      <w:r>
        <w:rPr>
          <w:rFonts w:hint="eastAsia" w:ascii="宋体" w:hAnsi="宋体" w:eastAsia="宋体" w:cs="宋体"/>
          <w:sz w:val="28"/>
          <w:szCs w:val="28"/>
        </w:rPr>
        <w:t>结算，不足一个月</w:t>
      </w:r>
      <w:r>
        <w:rPr>
          <w:rFonts w:hint="eastAsia" w:ascii="宋体" w:hAnsi="宋体" w:eastAsia="宋体" w:cs="宋体"/>
          <w:sz w:val="28"/>
          <w:szCs w:val="28"/>
          <w:lang w:val="en-US" w:eastAsia="zh-CN"/>
        </w:rPr>
        <w:t>的，以15个日历天为标准，超过15个日历天按月结算，不足15个日历天的按天结算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天服务费=年中标价</w:t>
      </w:r>
      <w:r>
        <w:rPr>
          <w:rFonts w:hint="eastAsia" w:ascii="宋体" w:hAnsi="宋体" w:eastAsia="宋体" w:cs="宋体"/>
          <w:sz w:val="28"/>
          <w:szCs w:val="28"/>
        </w:rPr>
        <w:t>÷</w:t>
      </w:r>
      <w:r>
        <w:rPr>
          <w:rFonts w:hint="eastAsia" w:ascii="宋体" w:hAnsi="宋体" w:eastAsia="宋体" w:cs="宋体"/>
          <w:sz w:val="28"/>
          <w:szCs w:val="28"/>
          <w:lang w:val="en-US" w:eastAsia="zh-CN"/>
        </w:rPr>
        <w:t>365-对应处罚费用</w:t>
      </w:r>
      <w:r>
        <w:rPr>
          <w:rFonts w:hint="eastAsia" w:ascii="宋体" w:hAnsi="宋体" w:eastAsia="宋体" w:cs="宋体"/>
          <w:sz w:val="28"/>
          <w:szCs w:val="28"/>
          <w:lang w:eastAsia="zh-CN"/>
        </w:rPr>
        <w:t>。</w:t>
      </w:r>
      <w:r>
        <w:rPr>
          <w:rFonts w:hint="eastAsia" w:ascii="宋体" w:hAnsi="宋体" w:eastAsia="宋体" w:cs="宋体"/>
          <w:sz w:val="28"/>
          <w:szCs w:val="28"/>
        </w:rPr>
        <w:t>每月末</w:t>
      </w:r>
      <w:r>
        <w:rPr>
          <w:rFonts w:hint="eastAsia" w:ascii="宋体" w:hAnsi="宋体" w:eastAsia="宋体" w:cs="宋体"/>
          <w:sz w:val="28"/>
          <w:szCs w:val="28"/>
          <w:lang w:val="en-US" w:eastAsia="zh-CN"/>
        </w:rPr>
        <w:t>乙方</w:t>
      </w:r>
      <w:r>
        <w:rPr>
          <w:rFonts w:hint="eastAsia" w:ascii="宋体" w:hAnsi="宋体" w:eastAsia="宋体" w:cs="宋体"/>
          <w:sz w:val="28"/>
          <w:szCs w:val="28"/>
        </w:rPr>
        <w:t>提交合格的服务结算资料，</w:t>
      </w:r>
      <w:r>
        <w:rPr>
          <w:rFonts w:hint="eastAsia" w:ascii="宋体" w:hAnsi="宋体" w:eastAsia="宋体" w:cs="宋体"/>
          <w:sz w:val="28"/>
          <w:szCs w:val="28"/>
          <w:lang w:val="en-US" w:eastAsia="zh-CN"/>
        </w:rPr>
        <w:t>甲方</w:t>
      </w:r>
      <w:r>
        <w:rPr>
          <w:rFonts w:hint="eastAsia" w:ascii="宋体" w:hAnsi="宋体" w:eastAsia="宋体" w:cs="宋体"/>
          <w:sz w:val="28"/>
          <w:szCs w:val="28"/>
        </w:rPr>
        <w:t>审核通过后按约定支付：月服务费 = 年中标价 ÷12 - 对应处罚费用。</w:t>
      </w:r>
    </w:p>
    <w:p w14:paraId="469BDC6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val="0"/>
          <w:color w:val="auto"/>
          <w:sz w:val="28"/>
          <w:szCs w:val="28"/>
          <w:highlight w:val="none"/>
        </w:rPr>
        <w:t>发票要求</w:t>
      </w:r>
      <w:r>
        <w:rPr>
          <w:rFonts w:hint="eastAsia" w:ascii="宋体" w:hAnsi="宋体" w:eastAsia="宋体" w:cs="宋体"/>
          <w:color w:val="auto"/>
          <w:sz w:val="28"/>
          <w:szCs w:val="28"/>
          <w:highlight w:val="none"/>
        </w:rPr>
        <w:t>：乙方提供合法有效增值税发票，甲方按约定支付。</w:t>
      </w:r>
    </w:p>
    <w:p w14:paraId="5B20462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val="0"/>
          <w:color w:val="auto"/>
          <w:sz w:val="28"/>
          <w:szCs w:val="28"/>
          <w:highlight w:val="none"/>
        </w:rPr>
        <w:t>履约保证金</w:t>
      </w:r>
      <w:r>
        <w:rPr>
          <w:rFonts w:hint="eastAsia" w:ascii="宋体" w:hAnsi="宋体" w:eastAsia="宋体" w:cs="宋体"/>
          <w:color w:val="auto"/>
          <w:sz w:val="28"/>
          <w:szCs w:val="28"/>
          <w:highlight w:val="none"/>
        </w:rPr>
        <w:t>：乙方在签订合同前缴纳单座磅房</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中标金额 ×2 座 ×10%</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即</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小写：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）至甲方指定账户，合同期满无违约</w:t>
      </w:r>
      <w:r>
        <w:rPr>
          <w:rFonts w:hint="eastAsia" w:ascii="宋体" w:hAnsi="宋体" w:cs="宋体"/>
          <w:color w:val="auto"/>
          <w:sz w:val="28"/>
          <w:szCs w:val="28"/>
          <w:highlight w:val="none"/>
          <w:lang w:val="en-US" w:eastAsia="zh-CN"/>
        </w:rPr>
        <w:t>7日内</w:t>
      </w:r>
      <w:r>
        <w:rPr>
          <w:rFonts w:hint="eastAsia" w:ascii="宋体" w:hAnsi="宋体" w:eastAsia="宋体" w:cs="宋体"/>
          <w:color w:val="auto"/>
          <w:sz w:val="28"/>
          <w:szCs w:val="28"/>
          <w:highlight w:val="none"/>
        </w:rPr>
        <w:t>全额</w:t>
      </w:r>
      <w:r>
        <w:rPr>
          <w:rFonts w:hint="eastAsia" w:ascii="宋体" w:hAnsi="宋体" w:cs="宋体"/>
          <w:color w:val="auto"/>
          <w:sz w:val="28"/>
          <w:szCs w:val="28"/>
          <w:highlight w:val="none"/>
          <w:lang w:val="en-US" w:eastAsia="zh-CN"/>
        </w:rPr>
        <w:t>无息</w:t>
      </w:r>
      <w:r>
        <w:rPr>
          <w:rFonts w:hint="eastAsia" w:ascii="宋体" w:hAnsi="宋体" w:eastAsia="宋体" w:cs="宋体"/>
          <w:color w:val="auto"/>
          <w:sz w:val="28"/>
          <w:szCs w:val="28"/>
          <w:highlight w:val="none"/>
        </w:rPr>
        <w:t>退还。</w:t>
      </w:r>
    </w:p>
    <w:p w14:paraId="3040A81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第四条 工作标准</w:t>
      </w:r>
    </w:p>
    <w:p w14:paraId="612BA1C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1、来料核对：严格核对来料的品类、规格，确保与单据标注一致；对货物重量进行监督复核，若发现称重数据异常（如与合理误差范围不符），需立即暂停作业并上报甲方现场管理人员。</w:t>
      </w:r>
    </w:p>
    <w:p w14:paraId="2C6FEB4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2、数据准确性：称重数据记录准确率需达到100%，</w:t>
      </w:r>
      <w:r>
        <w:rPr>
          <w:rFonts w:hint="eastAsia" w:ascii="宋体" w:hAnsi="宋体" w:eastAsia="宋体" w:cs="宋体"/>
          <w:color w:val="auto"/>
          <w:sz w:val="28"/>
          <w:szCs w:val="28"/>
          <w:lang w:val="en-US" w:eastAsia="zh-CN"/>
        </w:rPr>
        <w:t>台账记录完整、清晰、规范，无涂改、漏填、错填现象；电子表格数据录入及时，与纸质台账保持一致，数据完整性达100%。</w:t>
      </w:r>
    </w:p>
    <w:p w14:paraId="670AA00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3、设备操作：熟练掌握地磅设备的操作方法，规范操作设备，避免因操作不当导致设备故障或数据错误；定期检查设备运行状态，发现异常及时上报甲方。</w:t>
      </w:r>
    </w:p>
    <w:p w14:paraId="7FA313A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响应时效：提供24小时人员在岗服务，确保在现场有作业需求时，服务人员能及时到岗开展工作；无生产计划时，服务人员离岗须提前向甲方现场负责人报备，经同意后方可离开，且离岗期间需保证通讯畅通，紧急情况可随时到岗。</w:t>
      </w:r>
    </w:p>
    <w:p w14:paraId="714D4AC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第五条 考核与整改机制</w:t>
      </w:r>
    </w:p>
    <w:p w14:paraId="4A2E284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1、考核基础规则</w:t>
      </w:r>
    </w:p>
    <w:p w14:paraId="2459951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1.1考核周期：按月度开展综合考核，甲方每月底依据本条款标准对乙方工作质量、人员履职、合规性等进行评分（满分100分，80分及以上为合格）。</w:t>
      </w:r>
    </w:p>
    <w:p w14:paraId="14D420E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1.2结果通知：甲方于次月5个工作日内将考核结果、扣分明细及整改要求书面告知乙方，乙方需在3个工作日内确认回复，逾期未回复视为认可考核结果。</w:t>
      </w:r>
    </w:p>
    <w:p w14:paraId="4BD33DE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2、具体考核指标、扣分标准及整改要求</w:t>
      </w:r>
      <w:r>
        <w:rPr>
          <w:rFonts w:hint="eastAsia" w:ascii="宋体" w:hAnsi="宋体" w:cs="宋体"/>
          <w:sz w:val="28"/>
          <w:szCs w:val="28"/>
          <w:lang w:val="en-US" w:eastAsia="zh-CN"/>
        </w:rPr>
        <w:t>。</w:t>
      </w:r>
    </w:p>
    <w:tbl>
      <w:tblPr>
        <w:tblStyle w:val="36"/>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03"/>
        <w:gridCol w:w="2221"/>
        <w:gridCol w:w="1152"/>
        <w:gridCol w:w="2347"/>
        <w:gridCol w:w="3274"/>
      </w:tblGrid>
      <w:tr w14:paraId="2DFC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blHeader/>
          <w:jc w:val="center"/>
        </w:trPr>
        <w:tc>
          <w:tcPr>
            <w:tcW w:w="1103" w:type="dxa"/>
            <w:noWrap w:val="0"/>
            <w:tcMar>
              <w:top w:w="90" w:type="dxa"/>
              <w:left w:w="80" w:type="dxa"/>
              <w:bottom w:w="90" w:type="dxa"/>
              <w:right w:w="80" w:type="dxa"/>
            </w:tcMar>
            <w:vAlign w:val="center"/>
          </w:tcPr>
          <w:p w14:paraId="43A89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考核类别</w:t>
            </w:r>
          </w:p>
        </w:tc>
        <w:tc>
          <w:tcPr>
            <w:tcW w:w="2221" w:type="dxa"/>
            <w:noWrap w:val="0"/>
            <w:tcMar>
              <w:top w:w="90" w:type="dxa"/>
              <w:left w:w="80" w:type="dxa"/>
              <w:bottom w:w="90" w:type="dxa"/>
              <w:right w:w="80" w:type="dxa"/>
            </w:tcMar>
            <w:vAlign w:val="center"/>
          </w:tcPr>
          <w:p w14:paraId="34179C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具体违规情形</w:t>
            </w:r>
          </w:p>
        </w:tc>
        <w:tc>
          <w:tcPr>
            <w:tcW w:w="1152" w:type="dxa"/>
            <w:noWrap w:val="0"/>
            <w:tcMar>
              <w:top w:w="90" w:type="dxa"/>
              <w:left w:w="80" w:type="dxa"/>
              <w:bottom w:w="90" w:type="dxa"/>
              <w:right w:w="80" w:type="dxa"/>
            </w:tcMar>
            <w:vAlign w:val="center"/>
          </w:tcPr>
          <w:p w14:paraId="6271DC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扣分标准</w:t>
            </w:r>
          </w:p>
        </w:tc>
        <w:tc>
          <w:tcPr>
            <w:tcW w:w="2347" w:type="dxa"/>
            <w:noWrap w:val="0"/>
            <w:tcMar>
              <w:top w:w="90" w:type="dxa"/>
              <w:left w:w="80" w:type="dxa"/>
              <w:bottom w:w="90" w:type="dxa"/>
              <w:right w:w="80" w:type="dxa"/>
            </w:tcMar>
            <w:vAlign w:val="center"/>
          </w:tcPr>
          <w:p w14:paraId="369BF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整改要求</w:t>
            </w:r>
          </w:p>
        </w:tc>
        <w:tc>
          <w:tcPr>
            <w:tcW w:w="3274" w:type="dxa"/>
            <w:noWrap w:val="0"/>
            <w:tcMar>
              <w:top w:w="90" w:type="dxa"/>
              <w:left w:w="80" w:type="dxa"/>
              <w:bottom w:w="90" w:type="dxa"/>
              <w:right w:w="80" w:type="dxa"/>
            </w:tcMar>
            <w:vAlign w:val="center"/>
          </w:tcPr>
          <w:p w14:paraId="3634AC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b/>
                <w:sz w:val="21"/>
                <w:szCs w:val="21"/>
              </w:rPr>
            </w:pPr>
            <w:r>
              <w:rPr>
                <w:rFonts w:hint="eastAsia" w:ascii="宋体" w:hAnsi="宋体" w:eastAsia="宋体" w:cs="宋体"/>
                <w:b/>
                <w:kern w:val="0"/>
                <w:sz w:val="21"/>
                <w:szCs w:val="21"/>
                <w:lang w:val="en-US" w:eastAsia="zh-CN" w:bidi="ar"/>
              </w:rPr>
              <w:t>对应处罚措施</w:t>
            </w:r>
          </w:p>
        </w:tc>
      </w:tr>
      <w:tr w14:paraId="2094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noWrap w:val="0"/>
            <w:tcMar>
              <w:top w:w="90" w:type="dxa"/>
              <w:left w:w="80" w:type="dxa"/>
              <w:bottom w:w="90" w:type="dxa"/>
              <w:right w:w="80" w:type="dxa"/>
            </w:tcMar>
            <w:vAlign w:val="center"/>
          </w:tcPr>
          <w:p w14:paraId="5415A9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数据</w:t>
            </w:r>
          </w:p>
          <w:p w14:paraId="65C6ED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准确性</w:t>
            </w:r>
          </w:p>
        </w:tc>
        <w:tc>
          <w:tcPr>
            <w:tcW w:w="2221" w:type="dxa"/>
            <w:noWrap w:val="0"/>
            <w:tcMar>
              <w:top w:w="90" w:type="dxa"/>
              <w:left w:w="80" w:type="dxa"/>
              <w:bottom w:w="90" w:type="dxa"/>
              <w:right w:w="80" w:type="dxa"/>
            </w:tcMar>
            <w:vAlign w:val="center"/>
          </w:tcPr>
          <w:p w14:paraId="1E2EE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1.称重数据记录错误（单条记录）；</w:t>
            </w:r>
          </w:p>
          <w:p w14:paraId="69F74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2.台账漏填、错填；</w:t>
            </w:r>
          </w:p>
          <w:p w14:paraId="76CD3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3.电子表格与纸质台账数据不一致。</w:t>
            </w:r>
          </w:p>
        </w:tc>
        <w:tc>
          <w:tcPr>
            <w:tcW w:w="1152" w:type="dxa"/>
            <w:noWrap w:val="0"/>
            <w:tcMar>
              <w:top w:w="90" w:type="dxa"/>
              <w:left w:w="80" w:type="dxa"/>
              <w:bottom w:w="90" w:type="dxa"/>
              <w:right w:w="80" w:type="dxa"/>
            </w:tcMar>
            <w:vAlign w:val="center"/>
          </w:tcPr>
          <w:p w14:paraId="634CD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每发现一次扣5分</w:t>
            </w:r>
          </w:p>
        </w:tc>
        <w:tc>
          <w:tcPr>
            <w:tcW w:w="2347" w:type="dxa"/>
            <w:noWrap w:val="0"/>
            <w:tcMar>
              <w:top w:w="90" w:type="dxa"/>
              <w:left w:w="80" w:type="dxa"/>
              <w:bottom w:w="90" w:type="dxa"/>
              <w:right w:w="80" w:type="dxa"/>
            </w:tcMar>
            <w:vAlign w:val="center"/>
          </w:tcPr>
          <w:p w14:paraId="26EA18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1.24小时内完成数据更正，重新核对相关记录；</w:t>
            </w:r>
          </w:p>
          <w:p w14:paraId="67D74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2.提交书面说明，分析错误原因。</w:t>
            </w:r>
          </w:p>
        </w:tc>
        <w:tc>
          <w:tcPr>
            <w:tcW w:w="3274" w:type="dxa"/>
            <w:noWrap w:val="0"/>
            <w:tcMar>
              <w:top w:w="90" w:type="dxa"/>
              <w:left w:w="80" w:type="dxa"/>
              <w:bottom w:w="90" w:type="dxa"/>
              <w:right w:w="80" w:type="dxa"/>
            </w:tcMar>
            <w:vAlign w:val="center"/>
          </w:tcPr>
          <w:p w14:paraId="6AD81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1.每发现一次扣除服务费100元；</w:t>
            </w:r>
          </w:p>
          <w:p w14:paraId="5A177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2.月度累计扣分超过10分，扣除当月服务费用的20%。</w:t>
            </w:r>
          </w:p>
        </w:tc>
      </w:tr>
      <w:tr w14:paraId="644E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noWrap w:val="0"/>
            <w:tcMar>
              <w:top w:w="90" w:type="dxa"/>
              <w:left w:w="80" w:type="dxa"/>
              <w:bottom w:w="90" w:type="dxa"/>
              <w:right w:w="80" w:type="dxa"/>
            </w:tcMar>
            <w:vAlign w:val="center"/>
          </w:tcPr>
          <w:p w14:paraId="6B17B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单据</w:t>
            </w:r>
          </w:p>
          <w:p w14:paraId="1DB40E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核对</w:t>
            </w:r>
          </w:p>
        </w:tc>
        <w:tc>
          <w:tcPr>
            <w:tcW w:w="2221" w:type="dxa"/>
            <w:noWrap w:val="0"/>
            <w:tcMar>
              <w:top w:w="90" w:type="dxa"/>
              <w:left w:w="80" w:type="dxa"/>
              <w:bottom w:w="90" w:type="dxa"/>
              <w:right w:w="80" w:type="dxa"/>
            </w:tcMar>
            <w:vAlign w:val="center"/>
          </w:tcPr>
          <w:p w14:paraId="44AE5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1.货物品类、规格核对失误；</w:t>
            </w:r>
          </w:p>
          <w:p w14:paraId="6E661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2.数量与单据偏差在合理范围外且未及时上报。</w:t>
            </w:r>
          </w:p>
        </w:tc>
        <w:tc>
          <w:tcPr>
            <w:tcW w:w="1152" w:type="dxa"/>
            <w:noWrap w:val="0"/>
            <w:tcMar>
              <w:top w:w="90" w:type="dxa"/>
              <w:left w:w="80" w:type="dxa"/>
              <w:bottom w:w="90" w:type="dxa"/>
              <w:right w:w="80" w:type="dxa"/>
            </w:tcMar>
            <w:vAlign w:val="center"/>
          </w:tcPr>
          <w:p w14:paraId="43E6F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每发现一次扣10分</w:t>
            </w:r>
          </w:p>
        </w:tc>
        <w:tc>
          <w:tcPr>
            <w:tcW w:w="2347" w:type="dxa"/>
            <w:noWrap w:val="0"/>
            <w:tcMar>
              <w:top w:w="90" w:type="dxa"/>
              <w:left w:w="80" w:type="dxa"/>
              <w:bottom w:w="90" w:type="dxa"/>
              <w:right w:w="80" w:type="dxa"/>
            </w:tcMar>
            <w:vAlign w:val="center"/>
          </w:tcPr>
          <w:p w14:paraId="0EE94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立即暂停相关作业，重新核对货物与单据</w:t>
            </w:r>
          </w:p>
        </w:tc>
        <w:tc>
          <w:tcPr>
            <w:tcW w:w="3274" w:type="dxa"/>
            <w:noWrap w:val="0"/>
            <w:tcMar>
              <w:top w:w="90" w:type="dxa"/>
              <w:left w:w="80" w:type="dxa"/>
              <w:bottom w:w="90" w:type="dxa"/>
              <w:right w:w="80" w:type="dxa"/>
            </w:tcMar>
            <w:vAlign w:val="center"/>
          </w:tcPr>
          <w:p w14:paraId="2746E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1.每发现一次扣除服务费1000元；</w:t>
            </w:r>
          </w:p>
          <w:p w14:paraId="029B36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2.月度累计扣分达20分，扣除当月服务费用的30%；</w:t>
            </w:r>
          </w:p>
          <w:p w14:paraId="1D750B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3.造成采购人直接损失的，按损失金额的1.5倍赔偿。</w:t>
            </w:r>
          </w:p>
        </w:tc>
      </w:tr>
      <w:tr w14:paraId="6A89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noWrap w:val="0"/>
            <w:tcMar>
              <w:top w:w="90" w:type="dxa"/>
              <w:left w:w="80" w:type="dxa"/>
              <w:bottom w:w="90" w:type="dxa"/>
              <w:right w:w="80" w:type="dxa"/>
            </w:tcMar>
            <w:vAlign w:val="center"/>
          </w:tcPr>
          <w:p w14:paraId="189D57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设备</w:t>
            </w:r>
          </w:p>
          <w:p w14:paraId="731C8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操作</w:t>
            </w:r>
          </w:p>
        </w:tc>
        <w:tc>
          <w:tcPr>
            <w:tcW w:w="2221" w:type="dxa"/>
            <w:noWrap w:val="0"/>
            <w:tcMar>
              <w:top w:w="90" w:type="dxa"/>
              <w:left w:w="80" w:type="dxa"/>
              <w:bottom w:w="90" w:type="dxa"/>
              <w:right w:w="80" w:type="dxa"/>
            </w:tcMar>
            <w:vAlign w:val="center"/>
          </w:tcPr>
          <w:p w14:paraId="710BB5CA">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操作不规范（未造成设备故障）；</w:t>
            </w:r>
          </w:p>
          <w:p w14:paraId="3B2F93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2.未定期检查设备状态（单次）</w:t>
            </w:r>
          </w:p>
        </w:tc>
        <w:tc>
          <w:tcPr>
            <w:tcW w:w="1152" w:type="dxa"/>
            <w:noWrap w:val="0"/>
            <w:tcMar>
              <w:top w:w="90" w:type="dxa"/>
              <w:left w:w="80" w:type="dxa"/>
              <w:bottom w:w="90" w:type="dxa"/>
              <w:right w:w="80" w:type="dxa"/>
            </w:tcMar>
            <w:vAlign w:val="center"/>
          </w:tcPr>
          <w:p w14:paraId="14AF2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每发现一次扣3分</w:t>
            </w:r>
          </w:p>
        </w:tc>
        <w:tc>
          <w:tcPr>
            <w:tcW w:w="2347" w:type="dxa"/>
            <w:noWrap w:val="0"/>
            <w:tcMar>
              <w:top w:w="90" w:type="dxa"/>
              <w:left w:w="80" w:type="dxa"/>
              <w:bottom w:w="90" w:type="dxa"/>
              <w:right w:w="80" w:type="dxa"/>
            </w:tcMar>
            <w:vAlign w:val="center"/>
          </w:tcPr>
          <w:p w14:paraId="37C7F2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1.立即纠正操作行为；</w:t>
            </w:r>
          </w:p>
          <w:p w14:paraId="04BAEA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2.对设备进行全面检查，提交检查结果。</w:t>
            </w:r>
          </w:p>
        </w:tc>
        <w:tc>
          <w:tcPr>
            <w:tcW w:w="3274" w:type="dxa"/>
            <w:noWrap w:val="0"/>
            <w:tcMar>
              <w:top w:w="90" w:type="dxa"/>
              <w:left w:w="80" w:type="dxa"/>
              <w:bottom w:w="90" w:type="dxa"/>
              <w:right w:w="80" w:type="dxa"/>
            </w:tcMar>
            <w:vAlign w:val="center"/>
          </w:tcPr>
          <w:p w14:paraId="1D4C40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1.每发现一次扣除服务费50元；</w:t>
            </w:r>
          </w:p>
          <w:p w14:paraId="0E5CDD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2.月度累计扣分超过12分：扣除当月服务费用的5%；</w:t>
            </w:r>
          </w:p>
          <w:p w14:paraId="606D5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3.因操作不当导致设备故障或损坏，服务方承担全部维修费用，并扣除当月服务费用的10%。</w:t>
            </w:r>
          </w:p>
        </w:tc>
      </w:tr>
      <w:tr w14:paraId="5F09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noWrap w:val="0"/>
            <w:tcMar>
              <w:top w:w="90" w:type="dxa"/>
              <w:left w:w="80" w:type="dxa"/>
              <w:bottom w:w="90" w:type="dxa"/>
              <w:right w:w="80" w:type="dxa"/>
            </w:tcMar>
            <w:vAlign w:val="center"/>
          </w:tcPr>
          <w:p w14:paraId="79298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响应</w:t>
            </w:r>
          </w:p>
          <w:p w14:paraId="5BF99D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时效</w:t>
            </w:r>
          </w:p>
        </w:tc>
        <w:tc>
          <w:tcPr>
            <w:tcW w:w="2221" w:type="dxa"/>
            <w:noWrap w:val="0"/>
            <w:tcMar>
              <w:top w:w="90" w:type="dxa"/>
              <w:left w:w="80" w:type="dxa"/>
              <w:bottom w:w="90" w:type="dxa"/>
              <w:right w:w="80" w:type="dxa"/>
            </w:tcMar>
            <w:vAlign w:val="center"/>
          </w:tcPr>
          <w:p w14:paraId="644C4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未经报备擅自离岗或脱岗</w:t>
            </w:r>
          </w:p>
        </w:tc>
        <w:tc>
          <w:tcPr>
            <w:tcW w:w="1152" w:type="dxa"/>
            <w:noWrap w:val="0"/>
            <w:tcMar>
              <w:top w:w="90" w:type="dxa"/>
              <w:left w:w="80" w:type="dxa"/>
              <w:bottom w:w="90" w:type="dxa"/>
              <w:right w:w="80" w:type="dxa"/>
            </w:tcMar>
            <w:vAlign w:val="center"/>
          </w:tcPr>
          <w:p w14:paraId="3F16FD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每次</w:t>
            </w:r>
          </w:p>
          <w:p w14:paraId="6A4B6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扣20分</w:t>
            </w:r>
          </w:p>
        </w:tc>
        <w:tc>
          <w:tcPr>
            <w:tcW w:w="2347" w:type="dxa"/>
            <w:noWrap w:val="0"/>
            <w:tcMar>
              <w:top w:w="90" w:type="dxa"/>
              <w:left w:w="80" w:type="dxa"/>
              <w:bottom w:w="90" w:type="dxa"/>
              <w:right w:w="80" w:type="dxa"/>
            </w:tcMar>
            <w:vAlign w:val="center"/>
          </w:tcPr>
          <w:p w14:paraId="0B855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1.立即更换工作人员；</w:t>
            </w:r>
          </w:p>
          <w:p w14:paraId="2F18B8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2.2个工作日内提交书面检讨，明确改进措施。</w:t>
            </w:r>
          </w:p>
        </w:tc>
        <w:tc>
          <w:tcPr>
            <w:tcW w:w="3274" w:type="dxa"/>
            <w:noWrap w:val="0"/>
            <w:tcMar>
              <w:top w:w="90" w:type="dxa"/>
              <w:left w:w="80" w:type="dxa"/>
              <w:bottom w:w="90" w:type="dxa"/>
              <w:right w:w="80" w:type="dxa"/>
            </w:tcMar>
            <w:vAlign w:val="center"/>
          </w:tcPr>
          <w:p w14:paraId="7A8472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1.发现一次扣除当月服务费1000元；</w:t>
            </w:r>
          </w:p>
          <w:p w14:paraId="1F499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bidi="ar"/>
              </w:rPr>
              <w:t>2.月度累计扣分超20分解除合同。</w:t>
            </w:r>
          </w:p>
        </w:tc>
      </w:tr>
      <w:tr w14:paraId="042D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03" w:type="dxa"/>
            <w:noWrap w:val="0"/>
            <w:tcMar>
              <w:top w:w="90" w:type="dxa"/>
              <w:left w:w="80" w:type="dxa"/>
              <w:bottom w:w="90" w:type="dxa"/>
              <w:right w:w="80" w:type="dxa"/>
            </w:tcMar>
            <w:vAlign w:val="center"/>
          </w:tcPr>
          <w:p w14:paraId="65077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严重</w:t>
            </w:r>
          </w:p>
          <w:p w14:paraId="0435F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违规</w:t>
            </w:r>
          </w:p>
        </w:tc>
        <w:tc>
          <w:tcPr>
            <w:tcW w:w="2221" w:type="dxa"/>
            <w:noWrap w:val="0"/>
            <w:tcMar>
              <w:top w:w="90" w:type="dxa"/>
              <w:left w:w="80" w:type="dxa"/>
              <w:bottom w:w="90" w:type="dxa"/>
              <w:right w:w="80" w:type="dxa"/>
            </w:tcMar>
            <w:vAlign w:val="center"/>
          </w:tcPr>
          <w:p w14:paraId="3F325D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1.数据造假、私自篡改台账；</w:t>
            </w:r>
          </w:p>
          <w:p w14:paraId="5CEE8B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2.工作人员酒后上岗、打架斗殴；</w:t>
            </w:r>
          </w:p>
          <w:p w14:paraId="25432C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3.拒绝配合业主方监督考核；</w:t>
            </w:r>
          </w:p>
          <w:p w14:paraId="2022FC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bidi="ar"/>
              </w:rPr>
              <w:t>4.整改后仍未达标（累计2次）。</w:t>
            </w:r>
          </w:p>
        </w:tc>
        <w:tc>
          <w:tcPr>
            <w:tcW w:w="1152" w:type="dxa"/>
            <w:noWrap w:val="0"/>
            <w:tcMar>
              <w:top w:w="90" w:type="dxa"/>
              <w:left w:w="80" w:type="dxa"/>
              <w:bottom w:w="90" w:type="dxa"/>
              <w:right w:w="80" w:type="dxa"/>
            </w:tcMar>
            <w:vAlign w:val="center"/>
          </w:tcPr>
          <w:p w14:paraId="2F51B3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直接解</w:t>
            </w:r>
          </w:p>
          <w:p w14:paraId="24B5A7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center"/>
              <w:textAlignment w:val="top"/>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bidi="ar"/>
              </w:rPr>
              <w:t>除合同</w:t>
            </w:r>
          </w:p>
        </w:tc>
        <w:tc>
          <w:tcPr>
            <w:tcW w:w="2347" w:type="dxa"/>
            <w:noWrap w:val="0"/>
            <w:tcMar>
              <w:top w:w="90" w:type="dxa"/>
              <w:left w:w="80" w:type="dxa"/>
              <w:bottom w:w="90" w:type="dxa"/>
              <w:right w:w="80" w:type="dxa"/>
            </w:tcMar>
            <w:vAlign w:val="center"/>
          </w:tcPr>
          <w:p w14:paraId="0555F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lang w:val="en-US" w:eastAsia="zh-CN" w:bidi="ar"/>
              </w:rPr>
              <w:t>无整改期限，直接解除合同</w:t>
            </w:r>
          </w:p>
        </w:tc>
        <w:tc>
          <w:tcPr>
            <w:tcW w:w="3274" w:type="dxa"/>
            <w:noWrap w:val="0"/>
            <w:tcMar>
              <w:top w:w="90" w:type="dxa"/>
              <w:left w:w="80" w:type="dxa"/>
              <w:bottom w:w="90" w:type="dxa"/>
              <w:right w:w="80" w:type="dxa"/>
            </w:tcMar>
            <w:vAlign w:val="center"/>
          </w:tcPr>
          <w:p w14:paraId="5B2B6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left"/>
              <w:textAlignment w:val="top"/>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w:t>
            </w:r>
          </w:p>
        </w:tc>
      </w:tr>
    </w:tbl>
    <w:p w14:paraId="6EE04906">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560" w:firstLineChars="200"/>
        <w:jc w:val="left"/>
        <w:textAlignment w:val="auto"/>
        <w:rPr>
          <w:rFonts w:hint="eastAsia" w:ascii="宋体" w:hAnsi="宋体" w:eastAsia="宋体" w:cs="宋体"/>
          <w:bCs/>
          <w:kern w:val="0"/>
          <w:sz w:val="28"/>
          <w:szCs w:val="28"/>
          <w:highlight w:val="none"/>
          <w:u w:val="none"/>
          <w:lang w:val="en-US" w:eastAsia="zh-CN" w:bidi="ar-SA"/>
        </w:rPr>
      </w:pPr>
      <w:r>
        <w:rPr>
          <w:rFonts w:hint="eastAsia" w:ascii="宋体" w:hAnsi="宋体" w:eastAsia="宋体" w:cs="宋体"/>
          <w:bCs/>
          <w:kern w:val="0"/>
          <w:sz w:val="28"/>
          <w:szCs w:val="28"/>
          <w:highlight w:val="none"/>
          <w:u w:val="none"/>
          <w:lang w:val="en-US" w:eastAsia="zh-CN" w:bidi="ar-SA"/>
        </w:rPr>
        <w:t>3、累计处罚规则</w:t>
      </w:r>
    </w:p>
    <w:p w14:paraId="3BE1CE6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bCs/>
          <w:kern w:val="0"/>
          <w:sz w:val="28"/>
          <w:szCs w:val="28"/>
          <w:highlight w:val="none"/>
          <w:u w:val="none"/>
          <w:lang w:val="en-US" w:eastAsia="zh-CN" w:bidi="ar-SA"/>
        </w:rPr>
        <w:t>累计2</w:t>
      </w:r>
      <w:r>
        <w:rPr>
          <w:rFonts w:hint="eastAsia" w:ascii="宋体" w:hAnsi="宋体" w:cs="宋体"/>
          <w:bCs/>
          <w:kern w:val="0"/>
          <w:sz w:val="28"/>
          <w:szCs w:val="28"/>
          <w:highlight w:val="none"/>
          <w:u w:val="none"/>
          <w:lang w:val="en-US" w:eastAsia="zh-CN" w:bidi="ar-SA"/>
        </w:rPr>
        <w:t>次</w:t>
      </w:r>
      <w:r>
        <w:rPr>
          <w:rFonts w:hint="eastAsia" w:ascii="宋体" w:hAnsi="宋体" w:eastAsia="宋体" w:cs="宋体"/>
          <w:bCs/>
          <w:kern w:val="0"/>
          <w:sz w:val="28"/>
          <w:szCs w:val="28"/>
          <w:highlight w:val="none"/>
          <w:u w:val="none"/>
          <w:lang w:val="en-US" w:eastAsia="zh-CN" w:bidi="ar-SA"/>
        </w:rPr>
        <w:t>月考核不合格（低于80分）：甲方有权终止合同，扣除当期服务费用的20%和全部履约保证金。</w:t>
      </w:r>
    </w:p>
    <w:p w14:paraId="171EACA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第六条 双方权利与义务</w:t>
      </w:r>
    </w:p>
    <w:p w14:paraId="74717F6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（一）甲方权利义务</w:t>
      </w:r>
    </w:p>
    <w:p w14:paraId="5F092A8C">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1. 有权对乙方的工作质量、人员履职、设备使用情况进行监督、检查和考核。</w:t>
      </w:r>
    </w:p>
    <w:p w14:paraId="01C3B9E6">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2. 负责提供磅房作业所需的地磅设备、办公场地、单据凭证等基础物资，并承担设备的正常维修保养费用（因乙方操作不当导致的设备损坏维修费用由乙方承担）。</w:t>
      </w:r>
    </w:p>
    <w:p w14:paraId="17E618D1">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3. 向乙方明确现场作业要求、规章制度及相关工作标准，提供必要的岗前培训和在岗期间的工作指导。</w:t>
      </w:r>
    </w:p>
    <w:p w14:paraId="67E9E2B4">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4. 按照合同约定据实支付服务费用。</w:t>
      </w:r>
    </w:p>
    <w:p w14:paraId="153D6E19">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5. 有权根据合同约定终止服务合同（如考核不合格、第二年起需求调整等）。</w:t>
      </w:r>
    </w:p>
    <w:p w14:paraId="5F4D6AB9">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6. 安全责任免责：甲方不承担乙方派驻人员在</w:t>
      </w:r>
      <w:r>
        <w:rPr>
          <w:rFonts w:hint="eastAsia" w:ascii="宋体" w:hAnsi="宋体" w:eastAsia="宋体" w:cs="宋体"/>
          <w:b w:val="0"/>
          <w:bCs w:val="0"/>
          <w:color w:val="auto"/>
          <w:kern w:val="0"/>
          <w:sz w:val="28"/>
          <w:szCs w:val="28"/>
          <w:highlight w:val="none"/>
          <w:u w:val="none"/>
          <w:lang w:val="en-US" w:eastAsia="zh-CN" w:bidi="ar-SA"/>
        </w:rPr>
        <w:t>上班时间内（除采购人原因引起）及上下班途中的任何安全责任。若服务人员在上班时间内（除采购人原因引起）及上下</w:t>
      </w:r>
      <w:r>
        <w:rPr>
          <w:rFonts w:hint="eastAsia" w:ascii="宋体" w:hAnsi="宋体" w:eastAsia="宋体" w:cs="宋体"/>
          <w:b w:val="0"/>
          <w:bCs w:val="0"/>
          <w:color w:val="000000"/>
          <w:kern w:val="0"/>
          <w:sz w:val="28"/>
          <w:szCs w:val="28"/>
          <w:highlight w:val="none"/>
          <w:u w:val="none"/>
          <w:lang w:val="en-US" w:eastAsia="zh-CN" w:bidi="ar-SA"/>
        </w:rPr>
        <w:t>班途中发生交通事故或其他意外事件，造成人身伤亡、财产损失等一切后果，均由乙方全权承担，包括但不限于医疗费用、赔偿费用、仲裁诉讼费用等，甲方无需承担任何赔偿责任或连带责任。</w:t>
      </w:r>
    </w:p>
    <w:p w14:paraId="2E0B618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（二）乙方权利义务</w:t>
      </w:r>
    </w:p>
    <w:p w14:paraId="2D0BEEEE">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1.按照合同约定配备符合甲方要求的工作人员，确保工作人员满足岗位要求，熟练掌握相关操作技能。</w:t>
      </w:r>
    </w:p>
    <w:p w14:paraId="6C08D4CA">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2.负责工作人员的日常管理，包括考勤、纪律、安全培训等，确保工作人员严格遵守甲方的现场规章制度和工作要求。</w:t>
      </w:r>
    </w:p>
    <w:p w14:paraId="4026CC65">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3.承担服务人员的薪酬、社保、意外险等相关费用，负责服务人员的食宿、交通等后勤保障，确保服务人员能正常履职。</w:t>
      </w:r>
    </w:p>
    <w:p w14:paraId="5C20D841">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4.对工作过程中产生的称重数据、台账记录等资料的真实性、准确性、完整性负责，承担因数据错误、单据核对失误等导致的甲方损失。</w:t>
      </w:r>
    </w:p>
    <w:p w14:paraId="54AB1D30">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5.负责磅房及地磅设备的日常清洁与简单维护（非维修），如因操作不当导致设备损坏的，需承担维修费用或照价赔偿。</w:t>
      </w:r>
    </w:p>
    <w:p w14:paraId="423BF2A9">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6.接受甲方的监督、检查和考核，按照要求及时整改考核中发现的问题。</w:t>
      </w:r>
    </w:p>
    <w:p w14:paraId="39FC613A">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7.无权擅自变更工作人员、调整工作时间或终止服务，如确需变更相关事项，须提前向甲方申请并获得同意后方可进行调整、变更。</w:t>
      </w:r>
    </w:p>
    <w:p w14:paraId="67E47263">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val="0"/>
          <w:bCs w:val="0"/>
          <w:color w:val="000000"/>
          <w:kern w:val="0"/>
          <w:sz w:val="28"/>
          <w:szCs w:val="28"/>
          <w:highlight w:val="none"/>
          <w:u w:val="none"/>
          <w:lang w:val="en-US" w:eastAsia="zh-CN" w:bidi="ar-SA"/>
        </w:rPr>
      </w:pPr>
      <w:r>
        <w:rPr>
          <w:rFonts w:hint="eastAsia" w:ascii="宋体" w:hAnsi="宋体" w:eastAsia="宋体" w:cs="宋体"/>
          <w:b w:val="0"/>
          <w:bCs w:val="0"/>
          <w:color w:val="000000"/>
          <w:kern w:val="0"/>
          <w:sz w:val="28"/>
          <w:szCs w:val="28"/>
          <w:highlight w:val="none"/>
          <w:u w:val="none"/>
          <w:lang w:val="en-US" w:eastAsia="zh-CN" w:bidi="ar-SA"/>
        </w:rPr>
        <w:t>8.安全责任承担：乙方应加强对派驻人员的安全管理和教育，明确</w:t>
      </w:r>
      <w:r>
        <w:rPr>
          <w:rFonts w:hint="eastAsia" w:ascii="宋体" w:hAnsi="宋体" w:eastAsia="宋体" w:cs="宋体"/>
          <w:b w:val="0"/>
          <w:bCs w:val="0"/>
          <w:color w:val="auto"/>
          <w:kern w:val="0"/>
          <w:sz w:val="28"/>
          <w:szCs w:val="28"/>
          <w:highlight w:val="none"/>
          <w:u w:val="none"/>
          <w:lang w:val="en-US" w:eastAsia="zh-CN" w:bidi="ar-SA"/>
        </w:rPr>
        <w:t>上班时间内（除采购人原因引起）及上下班途中的安全注意事项。若服务人员在上班时间内（除采购人原因引起）及上下班途中发生交</w:t>
      </w:r>
      <w:r>
        <w:rPr>
          <w:rFonts w:hint="eastAsia" w:ascii="宋体" w:hAnsi="宋体" w:eastAsia="宋体" w:cs="宋体"/>
          <w:b w:val="0"/>
          <w:bCs w:val="0"/>
          <w:color w:val="000000"/>
          <w:kern w:val="0"/>
          <w:sz w:val="28"/>
          <w:szCs w:val="28"/>
          <w:highlight w:val="none"/>
          <w:u w:val="none"/>
          <w:lang w:val="en-US" w:eastAsia="zh-CN" w:bidi="ar-SA"/>
        </w:rPr>
        <w:t>通事故或其他意外事件，乙方需全权负责处理相关事宜，并承担由此产生的全部责任和费用；若因此给甲方造成损失（如诉讼牵连、名誉影响等），乙方还需向甲方承担赔偿责任。</w:t>
      </w:r>
    </w:p>
    <w:p w14:paraId="5F36B7C2">
      <w:pPr>
        <w:pStyle w:val="7"/>
        <w:keepNext w:val="0"/>
        <w:keepLines w:val="0"/>
        <w:pageBreakBefore w:val="0"/>
        <w:widowControl w:val="0"/>
        <w:kinsoku/>
        <w:wordWrap/>
        <w:overflowPunct/>
        <w:topLinePunct w:val="0"/>
        <w:autoSpaceDE/>
        <w:autoSpaceDN/>
        <w:bidi w:val="0"/>
        <w:adjustRightInd/>
        <w:snapToGrid/>
        <w:spacing w:before="0" w:after="0" w:line="540" w:lineRule="exact"/>
        <w:ind w:firstLine="560" w:firstLineChars="200"/>
        <w:jc w:val="left"/>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u w:val="none"/>
          <w:lang w:val="en-US" w:eastAsia="zh-CN" w:bidi="ar-SA"/>
        </w:rPr>
        <w:t>9.乙方确认：派驻的服务人员与甲方不存在劳动关系或劳务关系，相关用工风险由乙方自行承担。</w:t>
      </w:r>
    </w:p>
    <w:p w14:paraId="19E8F64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第</w:t>
      </w:r>
      <w:r>
        <w:rPr>
          <w:rFonts w:hint="eastAsia" w:ascii="宋体" w:hAnsi="宋体" w:cs="宋体"/>
          <w:b/>
          <w:bCs w:val="0"/>
          <w:sz w:val="28"/>
          <w:szCs w:val="28"/>
          <w:highlight w:val="none"/>
          <w:lang w:val="en-US" w:eastAsia="zh-CN"/>
        </w:rPr>
        <w:t>七</w:t>
      </w:r>
      <w:r>
        <w:rPr>
          <w:rFonts w:hint="eastAsia" w:ascii="宋体" w:hAnsi="宋体" w:eastAsia="宋体" w:cs="宋体"/>
          <w:b/>
          <w:bCs w:val="0"/>
          <w:sz w:val="28"/>
          <w:szCs w:val="28"/>
          <w:highlight w:val="none"/>
        </w:rPr>
        <w:t>条 违约责任</w:t>
      </w:r>
    </w:p>
    <w:p w14:paraId="6878E0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1. </w:t>
      </w:r>
      <w:r>
        <w:rPr>
          <w:rFonts w:hint="eastAsia" w:ascii="宋体" w:hAnsi="宋体" w:eastAsia="宋体" w:cs="宋体"/>
          <w:sz w:val="28"/>
          <w:szCs w:val="28"/>
          <w:highlight w:val="none"/>
        </w:rPr>
        <w:t>乙方未达标、违规、考核不合格，按本合同第五条执行。</w:t>
      </w:r>
    </w:p>
    <w:p w14:paraId="630DDE7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2. </w:t>
      </w:r>
      <w:r>
        <w:rPr>
          <w:rFonts w:hint="eastAsia" w:ascii="宋体" w:hAnsi="宋体" w:eastAsia="宋体" w:cs="宋体"/>
          <w:sz w:val="28"/>
          <w:szCs w:val="28"/>
          <w:highlight w:val="none"/>
        </w:rPr>
        <w:t>乙方数据造假、重大过失致甲方损失，按损失</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1.5倍赔偿，甲方有权解除合同。</w:t>
      </w:r>
    </w:p>
    <w:p w14:paraId="5C08364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3. </w:t>
      </w:r>
      <w:r>
        <w:rPr>
          <w:rFonts w:hint="eastAsia" w:ascii="宋体" w:hAnsi="宋体" w:eastAsia="宋体" w:cs="宋体"/>
          <w:sz w:val="28"/>
          <w:szCs w:val="28"/>
          <w:highlight w:val="none"/>
        </w:rPr>
        <w:t>乙方擅自终止服务、更换人员，甲方有权解除合同，没收履约保证金。</w:t>
      </w:r>
    </w:p>
    <w:p w14:paraId="4558F7E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第</w:t>
      </w:r>
      <w:r>
        <w:rPr>
          <w:rFonts w:hint="eastAsia" w:ascii="黑体" w:hAnsi="黑体" w:eastAsia="黑体" w:cs="黑体"/>
          <w:sz w:val="28"/>
          <w:szCs w:val="28"/>
          <w:highlight w:val="none"/>
          <w:lang w:val="en-US" w:eastAsia="zh-CN"/>
        </w:rPr>
        <w:t>八</w:t>
      </w:r>
      <w:r>
        <w:rPr>
          <w:rFonts w:hint="eastAsia" w:ascii="黑体" w:hAnsi="黑体" w:eastAsia="黑体" w:cs="黑体"/>
          <w:sz w:val="28"/>
          <w:szCs w:val="28"/>
          <w:highlight w:val="none"/>
        </w:rPr>
        <w:t>条 合同的变更、解除与终止</w:t>
      </w:r>
    </w:p>
    <w:p w14:paraId="2568421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1. </w:t>
      </w:r>
      <w:r>
        <w:rPr>
          <w:rFonts w:hint="eastAsia" w:ascii="宋体" w:hAnsi="宋体" w:eastAsia="宋体" w:cs="宋体"/>
          <w:sz w:val="28"/>
          <w:szCs w:val="28"/>
          <w:highlight w:val="none"/>
        </w:rPr>
        <w:t>合同变更须双方书面确认。</w:t>
      </w:r>
    </w:p>
    <w:p w14:paraId="267532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2. </w:t>
      </w:r>
      <w:r>
        <w:rPr>
          <w:rFonts w:hint="eastAsia" w:ascii="宋体" w:hAnsi="宋体" w:eastAsia="宋体" w:cs="宋体"/>
          <w:sz w:val="28"/>
          <w:szCs w:val="28"/>
          <w:highlight w:val="none"/>
        </w:rPr>
        <w:t>乙方严重违约、考核不合格、年度不达标，甲方可单方解除。</w:t>
      </w:r>
    </w:p>
    <w:p w14:paraId="1342F99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3. </w:t>
      </w:r>
      <w:r>
        <w:rPr>
          <w:rFonts w:hint="eastAsia" w:ascii="宋体" w:hAnsi="宋体" w:eastAsia="宋体" w:cs="宋体"/>
          <w:sz w:val="28"/>
          <w:szCs w:val="28"/>
          <w:highlight w:val="none"/>
        </w:rPr>
        <w:t>第二年起甲方可因工作需求随时终止，不承担额外违约责任。</w:t>
      </w:r>
    </w:p>
    <w:p w14:paraId="4C3A32F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4. </w:t>
      </w:r>
      <w:r>
        <w:rPr>
          <w:rFonts w:hint="eastAsia" w:ascii="宋体" w:hAnsi="宋体" w:eastAsia="宋体" w:cs="宋体"/>
          <w:sz w:val="28"/>
          <w:szCs w:val="28"/>
          <w:highlight w:val="none"/>
        </w:rPr>
        <w:t>合同终止，乙方移交全部资料、物资，甲方结清实际发生费用。</w:t>
      </w:r>
    </w:p>
    <w:p w14:paraId="1724128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第</w:t>
      </w:r>
      <w:r>
        <w:rPr>
          <w:rFonts w:hint="eastAsia" w:ascii="黑体" w:hAnsi="黑体" w:eastAsia="黑体" w:cs="黑体"/>
          <w:sz w:val="28"/>
          <w:szCs w:val="28"/>
          <w:highlight w:val="none"/>
          <w:lang w:val="en-US" w:eastAsia="zh-CN"/>
        </w:rPr>
        <w:t>九</w:t>
      </w:r>
      <w:r>
        <w:rPr>
          <w:rFonts w:hint="eastAsia" w:ascii="黑体" w:hAnsi="黑体" w:eastAsia="黑体" w:cs="黑体"/>
          <w:sz w:val="28"/>
          <w:szCs w:val="28"/>
          <w:highlight w:val="none"/>
        </w:rPr>
        <w:t>条 保密条款</w:t>
      </w:r>
    </w:p>
    <w:p w14:paraId="34C3614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双方对服务中的商业信息、数据、单据等严格保密，合同终止后保密义务持续3年，泄密方承担全部损失。</w:t>
      </w:r>
    </w:p>
    <w:p w14:paraId="26D8A8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第十条 争议解决</w:t>
      </w:r>
    </w:p>
    <w:p w14:paraId="24128D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因本合同引起的争议，双方协商解决；协商不成，提交</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rPr>
        <w:t>所在地人民法院诉讼解决。</w:t>
      </w:r>
    </w:p>
    <w:p w14:paraId="1D47F22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第十</w:t>
      </w:r>
      <w:r>
        <w:rPr>
          <w:rFonts w:hint="eastAsia" w:ascii="黑体" w:hAnsi="黑体" w:eastAsia="黑体" w:cs="黑体"/>
          <w:sz w:val="28"/>
          <w:szCs w:val="28"/>
          <w:highlight w:val="none"/>
          <w:lang w:val="en-US" w:eastAsia="zh-CN"/>
        </w:rPr>
        <w:t>一</w:t>
      </w:r>
      <w:r>
        <w:rPr>
          <w:rFonts w:hint="eastAsia" w:ascii="黑体" w:hAnsi="黑体" w:eastAsia="黑体" w:cs="黑体"/>
          <w:sz w:val="28"/>
          <w:szCs w:val="28"/>
          <w:highlight w:val="none"/>
        </w:rPr>
        <w:t>条 其他</w:t>
      </w:r>
    </w:p>
    <w:p w14:paraId="196E21A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招标文件、乙方投标文件、中标通知书为本合同组成部分，与本合同具有同等法律效力。</w:t>
      </w:r>
    </w:p>
    <w:p w14:paraId="692360D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本合同未尽事宜，双方另行签订补充协议。</w:t>
      </w:r>
    </w:p>
    <w:p w14:paraId="1BD929B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本合同一式肆份，甲方执叁份，乙方执壹份，签字盖章后生效。</w:t>
      </w:r>
    </w:p>
    <w:p w14:paraId="3C16CE9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rPr>
      </w:pPr>
    </w:p>
    <w:p w14:paraId="7434828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rPr>
      </w:pPr>
    </w:p>
    <w:p w14:paraId="05A32A2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甲方（盖章）：</w:t>
      </w:r>
      <w:r>
        <w:rPr>
          <w:rFonts w:hint="eastAsia" w:ascii="宋体" w:hAnsi="宋体" w:eastAsia="宋体" w:cs="宋体"/>
          <w:sz w:val="28"/>
          <w:szCs w:val="28"/>
          <w:highlight w:val="none"/>
          <w:lang w:val="en-US" w:eastAsia="zh-CN"/>
        </w:rPr>
        <w:t>滁州市兴滁实业有限公司</w:t>
      </w:r>
    </w:p>
    <w:p w14:paraId="7A1230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 / 授权代表（签字）：</w:t>
      </w:r>
    </w:p>
    <w:p w14:paraId="20D12E4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日期：2026 年____月____日</w:t>
      </w:r>
    </w:p>
    <w:p w14:paraId="75A3963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rPr>
      </w:pPr>
    </w:p>
    <w:p w14:paraId="3C706D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乙方（盖章）：</w:t>
      </w:r>
    </w:p>
    <w:p w14:paraId="743AA2D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 / 授权代表（签字）：</w:t>
      </w:r>
    </w:p>
    <w:p w14:paraId="07F96B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日期：2026 年____月____日</w:t>
      </w:r>
    </w:p>
    <w:p w14:paraId="57169A3C">
      <w:pPr>
        <w:tabs>
          <w:tab w:val="left" w:pos="7560"/>
        </w:tabs>
        <w:spacing w:line="560" w:lineRule="exact"/>
        <w:rPr>
          <w:rFonts w:ascii="仿宋" w:hAnsi="仿宋" w:eastAsia="仿宋"/>
          <w:color w:val="auto"/>
        </w:rPr>
      </w:pPr>
    </w:p>
    <w:p w14:paraId="79B6295A">
      <w:pPr>
        <w:spacing w:before="156" w:beforeLines="50" w:after="156" w:afterLines="50"/>
        <w:jc w:val="center"/>
        <w:outlineLvl w:val="0"/>
        <w:rPr>
          <w:rFonts w:ascii="宋体"/>
          <w:b/>
          <w:color w:val="auto"/>
          <w:sz w:val="32"/>
          <w:szCs w:val="32"/>
        </w:rPr>
      </w:pPr>
      <w:r>
        <w:rPr>
          <w:rFonts w:ascii="仿宋" w:hAnsi="仿宋" w:eastAsia="仿宋"/>
          <w:color w:val="auto"/>
          <w:sz w:val="24"/>
          <w:szCs w:val="36"/>
        </w:rPr>
        <w:br w:type="page"/>
      </w:r>
      <w:r>
        <w:rPr>
          <w:rFonts w:hint="eastAsia" w:ascii="宋体"/>
          <w:b/>
          <w:color w:val="auto"/>
          <w:sz w:val="32"/>
          <w:szCs w:val="32"/>
        </w:rPr>
        <w:t>第六章  投标文件格式</w:t>
      </w:r>
    </w:p>
    <w:p w14:paraId="44C34767">
      <w:pPr>
        <w:jc w:val="center"/>
        <w:rPr>
          <w:rFonts w:eastAsia="黑体"/>
          <w:color w:val="auto"/>
          <w:sz w:val="20"/>
        </w:rPr>
      </w:pPr>
    </w:p>
    <w:p w14:paraId="12B0AB51">
      <w:pPr>
        <w:rPr>
          <w:rFonts w:eastAsia="黑体"/>
          <w:color w:val="auto"/>
          <w:sz w:val="20"/>
        </w:rPr>
      </w:pPr>
    </w:p>
    <w:p w14:paraId="65B13DED">
      <w:pPr>
        <w:rPr>
          <w:rFonts w:eastAsia="黑体"/>
          <w:color w:val="auto"/>
          <w:sz w:val="20"/>
        </w:rPr>
      </w:pPr>
    </w:p>
    <w:p w14:paraId="0F1DEA53">
      <w:pPr>
        <w:rPr>
          <w:rFonts w:eastAsia="黑体"/>
          <w:color w:val="auto"/>
          <w:sz w:val="20"/>
        </w:rPr>
      </w:pPr>
    </w:p>
    <w:p w14:paraId="0D73A1A1">
      <w:pPr>
        <w:jc w:val="center"/>
        <w:rPr>
          <w:rFonts w:ascii="宋体"/>
          <w:b/>
          <w:color w:val="auto"/>
          <w:sz w:val="44"/>
          <w:szCs w:val="44"/>
        </w:rPr>
      </w:pPr>
      <w:bookmarkStart w:id="75" w:name="_Toc350698753"/>
      <w:bookmarkStart w:id="76" w:name="_Toc449028949"/>
      <w:r>
        <w:rPr>
          <w:rFonts w:hint="eastAsia" w:ascii="宋体"/>
          <w:b/>
          <w:color w:val="auto"/>
          <w:sz w:val="44"/>
          <w:szCs w:val="44"/>
          <w:lang w:val="en-US" w:eastAsia="zh-CN"/>
        </w:rPr>
        <w:t>投标文件</w:t>
      </w:r>
      <w:bookmarkEnd w:id="75"/>
      <w:bookmarkEnd w:id="76"/>
    </w:p>
    <w:p w14:paraId="2B7968EA">
      <w:pPr>
        <w:jc w:val="center"/>
        <w:rPr>
          <w:rFonts w:eastAsia="黑体"/>
          <w:color w:val="auto"/>
          <w:sz w:val="44"/>
          <w:szCs w:val="44"/>
        </w:rPr>
      </w:pPr>
    </w:p>
    <w:p w14:paraId="3B423825">
      <w:pPr>
        <w:jc w:val="center"/>
        <w:rPr>
          <w:rFonts w:eastAsia="黑体"/>
          <w:color w:val="auto"/>
          <w:sz w:val="44"/>
          <w:szCs w:val="44"/>
        </w:rPr>
      </w:pPr>
    </w:p>
    <w:p w14:paraId="6D49D390">
      <w:pPr>
        <w:jc w:val="center"/>
        <w:rPr>
          <w:rFonts w:ascii="宋体"/>
          <w:color w:val="auto"/>
          <w:sz w:val="32"/>
          <w:szCs w:val="32"/>
        </w:rPr>
      </w:pPr>
      <w:r>
        <w:rPr>
          <w:rFonts w:hint="eastAsia" w:ascii="宋体"/>
          <w:color w:val="auto"/>
          <w:sz w:val="32"/>
          <w:szCs w:val="32"/>
          <w:u w:val="single"/>
        </w:rPr>
        <w:t xml:space="preserve">        </w:t>
      </w:r>
      <w:r>
        <w:rPr>
          <w:rFonts w:hint="eastAsia" w:ascii="宋体"/>
          <w:color w:val="auto"/>
          <w:sz w:val="32"/>
          <w:szCs w:val="32"/>
        </w:rPr>
        <w:t>项目</w:t>
      </w:r>
    </w:p>
    <w:p w14:paraId="7691238B">
      <w:pPr>
        <w:rPr>
          <w:rFonts w:ascii="宋体"/>
          <w:color w:val="auto"/>
          <w:sz w:val="28"/>
          <w:szCs w:val="28"/>
        </w:rPr>
      </w:pPr>
    </w:p>
    <w:p w14:paraId="3742B360">
      <w:pPr>
        <w:rPr>
          <w:rFonts w:ascii="宋体"/>
          <w:color w:val="auto"/>
          <w:sz w:val="28"/>
          <w:szCs w:val="28"/>
        </w:rPr>
      </w:pPr>
    </w:p>
    <w:p w14:paraId="62B8FC86">
      <w:pPr>
        <w:rPr>
          <w:rFonts w:ascii="宋体"/>
          <w:color w:val="auto"/>
          <w:sz w:val="28"/>
          <w:szCs w:val="28"/>
        </w:rPr>
      </w:pPr>
    </w:p>
    <w:p w14:paraId="7D23F189">
      <w:pPr>
        <w:rPr>
          <w:rFonts w:ascii="宋体"/>
          <w:color w:val="auto"/>
          <w:sz w:val="28"/>
          <w:szCs w:val="28"/>
        </w:rPr>
      </w:pPr>
    </w:p>
    <w:p w14:paraId="42A88458">
      <w:pPr>
        <w:rPr>
          <w:rFonts w:ascii="宋体"/>
          <w:color w:val="auto"/>
          <w:sz w:val="28"/>
          <w:szCs w:val="28"/>
        </w:rPr>
      </w:pPr>
    </w:p>
    <w:p w14:paraId="05D012F9">
      <w:pPr>
        <w:rPr>
          <w:rFonts w:ascii="宋体"/>
          <w:color w:val="auto"/>
          <w:sz w:val="28"/>
          <w:szCs w:val="28"/>
        </w:rPr>
      </w:pPr>
    </w:p>
    <w:p w14:paraId="58373D45">
      <w:pPr>
        <w:rPr>
          <w:rFonts w:ascii="宋体"/>
          <w:color w:val="auto"/>
          <w:sz w:val="28"/>
          <w:szCs w:val="28"/>
        </w:rPr>
      </w:pPr>
    </w:p>
    <w:p w14:paraId="734B660D">
      <w:pPr>
        <w:jc w:val="center"/>
        <w:rPr>
          <w:rFonts w:ascii="宋体"/>
          <w:color w:val="auto"/>
          <w:sz w:val="28"/>
          <w:szCs w:val="28"/>
          <w:u w:val="single"/>
        </w:rPr>
      </w:pPr>
      <w:r>
        <w:rPr>
          <w:rFonts w:hint="eastAsia" w:ascii="宋体"/>
          <w:color w:val="auto"/>
          <w:sz w:val="28"/>
          <w:szCs w:val="28"/>
        </w:rPr>
        <w:t>投标人：</w:t>
      </w:r>
      <w:r>
        <w:rPr>
          <w:rFonts w:hint="eastAsia" w:ascii="宋体"/>
          <w:color w:val="auto"/>
          <w:sz w:val="28"/>
          <w:szCs w:val="28"/>
          <w:u w:val="single"/>
        </w:rPr>
        <w:t xml:space="preserve">                                 </w:t>
      </w:r>
      <w:r>
        <w:rPr>
          <w:rFonts w:hint="eastAsia" w:ascii="宋体"/>
          <w:color w:val="auto"/>
          <w:sz w:val="28"/>
          <w:szCs w:val="28"/>
        </w:rPr>
        <w:t>（盖单位章）</w:t>
      </w:r>
    </w:p>
    <w:p w14:paraId="53394E04">
      <w:pPr>
        <w:ind w:firstLine="560" w:firstLineChars="200"/>
        <w:rPr>
          <w:rFonts w:ascii="宋体"/>
          <w:color w:val="auto"/>
          <w:sz w:val="28"/>
          <w:szCs w:val="28"/>
        </w:rPr>
      </w:pPr>
      <w:r>
        <w:rPr>
          <w:rFonts w:hint="eastAsia" w:ascii="宋体"/>
          <w:color w:val="auto"/>
          <w:sz w:val="28"/>
          <w:szCs w:val="28"/>
        </w:rPr>
        <w:t>法定代表人：</w:t>
      </w:r>
      <w:r>
        <w:rPr>
          <w:rFonts w:hint="eastAsia" w:ascii="宋体"/>
          <w:color w:val="auto"/>
          <w:sz w:val="28"/>
          <w:szCs w:val="28"/>
          <w:u w:val="single"/>
        </w:rPr>
        <w:t xml:space="preserve">                              </w:t>
      </w:r>
      <w:r>
        <w:rPr>
          <w:rFonts w:hint="eastAsia" w:ascii="宋体"/>
          <w:color w:val="auto"/>
          <w:sz w:val="28"/>
          <w:szCs w:val="28"/>
        </w:rPr>
        <w:t>（签字或盖章）</w:t>
      </w:r>
    </w:p>
    <w:p w14:paraId="4986FEA3">
      <w:pPr>
        <w:jc w:val="center"/>
        <w:rPr>
          <w:rFonts w:ascii="宋体"/>
          <w:color w:val="auto"/>
          <w:sz w:val="28"/>
          <w:szCs w:val="28"/>
        </w:rPr>
      </w:pP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color w:val="auto"/>
          <w:sz w:val="28"/>
          <w:szCs w:val="28"/>
        </w:rPr>
        <w:t>日</w:t>
      </w:r>
    </w:p>
    <w:p w14:paraId="09B2D2A1">
      <w:pPr>
        <w:spacing w:line="720" w:lineRule="auto"/>
        <w:jc w:val="center"/>
        <w:rPr>
          <w:rFonts w:ascii="宋体"/>
          <w:b/>
          <w:color w:val="auto"/>
          <w:sz w:val="36"/>
          <w:szCs w:val="36"/>
        </w:rPr>
      </w:pPr>
    </w:p>
    <w:p w14:paraId="28BC2454">
      <w:pPr>
        <w:spacing w:line="400" w:lineRule="exact"/>
        <w:ind w:firstLine="4130" w:firstLineChars="935"/>
        <w:rPr>
          <w:b/>
          <w:color w:val="auto"/>
          <w:sz w:val="44"/>
          <w:szCs w:val="44"/>
        </w:rPr>
      </w:pPr>
    </w:p>
    <w:p w14:paraId="76C1DE1F">
      <w:pPr>
        <w:spacing w:line="400" w:lineRule="exact"/>
        <w:ind w:firstLine="4130" w:firstLineChars="935"/>
        <w:rPr>
          <w:b/>
          <w:color w:val="auto"/>
          <w:sz w:val="44"/>
          <w:szCs w:val="44"/>
        </w:rPr>
      </w:pPr>
    </w:p>
    <w:p w14:paraId="19AB07E8">
      <w:pPr>
        <w:spacing w:line="400" w:lineRule="exact"/>
        <w:ind w:firstLine="4130" w:firstLineChars="935"/>
        <w:rPr>
          <w:b/>
          <w:color w:val="auto"/>
          <w:sz w:val="44"/>
          <w:szCs w:val="44"/>
        </w:rPr>
      </w:pPr>
    </w:p>
    <w:p w14:paraId="70BAC33C">
      <w:pPr>
        <w:pStyle w:val="2"/>
      </w:pPr>
    </w:p>
    <w:p w14:paraId="121561D5">
      <w:pPr>
        <w:rPr>
          <w:rFonts w:hint="eastAsia"/>
          <w:b/>
          <w:color w:val="auto"/>
          <w:sz w:val="36"/>
          <w:szCs w:val="36"/>
        </w:rPr>
      </w:pPr>
      <w:r>
        <w:rPr>
          <w:rFonts w:hint="eastAsia"/>
          <w:b/>
          <w:color w:val="auto"/>
          <w:sz w:val="36"/>
          <w:szCs w:val="36"/>
        </w:rPr>
        <w:br w:type="page"/>
      </w:r>
    </w:p>
    <w:p w14:paraId="5BA0D63D">
      <w:pPr>
        <w:jc w:val="center"/>
        <w:rPr>
          <w:b/>
          <w:color w:val="auto"/>
          <w:sz w:val="44"/>
          <w:szCs w:val="44"/>
        </w:rPr>
      </w:pPr>
      <w:r>
        <w:rPr>
          <w:rFonts w:hint="eastAsia"/>
          <w:b/>
          <w:color w:val="auto"/>
          <w:sz w:val="36"/>
          <w:szCs w:val="36"/>
        </w:rPr>
        <w:t>目   录</w:t>
      </w:r>
    </w:p>
    <w:p w14:paraId="30A9EC6A">
      <w:pPr>
        <w:spacing w:line="400" w:lineRule="exact"/>
        <w:ind w:firstLine="562" w:firstLineChars="200"/>
        <w:rPr>
          <w:b/>
          <w:color w:val="auto"/>
          <w:sz w:val="28"/>
          <w:szCs w:val="28"/>
        </w:rPr>
      </w:pPr>
    </w:p>
    <w:p w14:paraId="3B119EB3">
      <w:pPr>
        <w:spacing w:line="500" w:lineRule="exact"/>
        <w:ind w:firstLine="420" w:firstLineChars="200"/>
        <w:jc w:val="left"/>
        <w:rPr>
          <w:rFonts w:hint="eastAsia" w:ascii="宋体" w:hAnsi="Times New Roman" w:eastAsia="宋体" w:cs="Times New Roman"/>
          <w:color w:val="auto"/>
          <w:szCs w:val="21"/>
        </w:rPr>
      </w:pPr>
      <w:r>
        <w:rPr>
          <w:rFonts w:hint="eastAsia" w:ascii="宋体" w:hAnsi="Times New Roman" w:eastAsia="宋体" w:cs="Times New Roman"/>
          <w:color w:val="auto"/>
          <w:szCs w:val="21"/>
        </w:rPr>
        <w:t>（1）法定代表人身份证明及其有效身份证（或法定代表人授权委托书及其有效身份证）（格式见附件）；</w:t>
      </w:r>
    </w:p>
    <w:p w14:paraId="1A9F4EFF">
      <w:pPr>
        <w:spacing w:line="500" w:lineRule="exact"/>
        <w:ind w:firstLine="420" w:firstLineChars="200"/>
        <w:jc w:val="left"/>
        <w:rPr>
          <w:rFonts w:hint="eastAsia" w:ascii="宋体" w:hAnsi="Times New Roman" w:eastAsia="宋体" w:cs="Times New Roman"/>
          <w:color w:val="auto"/>
          <w:szCs w:val="21"/>
        </w:rPr>
      </w:pPr>
      <w:r>
        <w:rPr>
          <w:rFonts w:hint="eastAsia" w:ascii="宋体" w:hAnsi="Times New Roman" w:eastAsia="宋体" w:cs="Times New Roman"/>
          <w:color w:val="auto"/>
          <w:szCs w:val="21"/>
        </w:rPr>
        <w:t>（2）</w:t>
      </w:r>
      <w:r>
        <w:rPr>
          <w:rFonts w:hint="eastAsia" w:ascii="宋体" w:hAnsi="Times New Roman" w:eastAsia="宋体" w:cs="Times New Roman"/>
          <w:color w:val="auto"/>
          <w:szCs w:val="21"/>
          <w:lang w:val="en-US" w:eastAsia="zh-CN"/>
        </w:rPr>
        <w:t>投标人有效</w:t>
      </w:r>
      <w:r>
        <w:rPr>
          <w:rFonts w:hint="eastAsia" w:ascii="宋体" w:hAnsi="Times New Roman" w:eastAsia="宋体" w:cs="Times New Roman"/>
          <w:color w:val="auto"/>
          <w:szCs w:val="21"/>
        </w:rPr>
        <w:t>营业执照（或三证合一证书有效证件）；</w:t>
      </w:r>
    </w:p>
    <w:p w14:paraId="4EE4F8E9">
      <w:pPr>
        <w:spacing w:line="500" w:lineRule="exact"/>
        <w:ind w:firstLine="420" w:firstLineChars="200"/>
        <w:jc w:val="left"/>
        <w:rPr>
          <w:rFonts w:hint="eastAsia" w:ascii="宋体" w:hAnsi="Times New Roman" w:eastAsia="宋体" w:cs="Times New Roman"/>
          <w:color w:val="auto"/>
          <w:szCs w:val="21"/>
          <w:lang w:eastAsia="zh-CN"/>
        </w:rPr>
      </w:pPr>
      <w:r>
        <w:rPr>
          <w:rFonts w:hint="eastAsia" w:ascii="宋体" w:cs="Times New Roman"/>
          <w:color w:val="auto"/>
          <w:szCs w:val="21"/>
          <w:lang w:eastAsia="zh-CN"/>
        </w:rPr>
        <w:t>（</w:t>
      </w:r>
      <w:r>
        <w:rPr>
          <w:rFonts w:hint="eastAsia" w:ascii="宋体" w:cs="Times New Roman"/>
          <w:color w:val="auto"/>
          <w:szCs w:val="21"/>
          <w:lang w:val="en-US" w:eastAsia="zh-CN"/>
        </w:rPr>
        <w:t>3）投标人自2023年1月1日至投标截止时间止（以合同签订时间时间为准），具有服务外包服务业绩；</w:t>
      </w:r>
    </w:p>
    <w:p w14:paraId="391DC516">
      <w:pPr>
        <w:spacing w:line="500" w:lineRule="exact"/>
        <w:ind w:firstLine="420" w:firstLineChars="200"/>
        <w:jc w:val="left"/>
        <w:rPr>
          <w:rFonts w:hint="eastAsia" w:ascii="宋体" w:hAnsi="Times New Roman" w:eastAsia="宋体" w:cs="Times New Roman"/>
          <w:color w:val="auto"/>
          <w:szCs w:val="21"/>
        </w:rPr>
      </w:pPr>
      <w:r>
        <w:rPr>
          <w:rFonts w:hint="eastAsia" w:ascii="宋体" w:hAnsi="Times New Roman" w:eastAsia="宋体" w:cs="Times New Roman"/>
          <w:color w:val="auto"/>
          <w:szCs w:val="21"/>
        </w:rPr>
        <w:t>（</w:t>
      </w:r>
      <w:r>
        <w:rPr>
          <w:rFonts w:hint="eastAsia" w:ascii="宋体" w:cs="Times New Roman"/>
          <w:color w:val="auto"/>
          <w:szCs w:val="21"/>
          <w:lang w:val="en-US" w:eastAsia="zh-CN"/>
        </w:rPr>
        <w:t>4</w:t>
      </w:r>
      <w:r>
        <w:rPr>
          <w:rFonts w:hint="eastAsia" w:ascii="宋体" w:hAnsi="Times New Roman" w:eastAsia="宋体" w:cs="Times New Roman"/>
          <w:color w:val="auto"/>
          <w:szCs w:val="21"/>
        </w:rPr>
        <w:t>）诚信</w:t>
      </w:r>
      <w:r>
        <w:rPr>
          <w:rFonts w:hint="eastAsia" w:ascii="宋体" w:hAnsi="Times New Roman" w:eastAsia="宋体" w:cs="Times New Roman"/>
          <w:color w:val="auto"/>
          <w:szCs w:val="21"/>
          <w:lang w:val="en-US" w:eastAsia="zh-CN"/>
        </w:rPr>
        <w:t>投标</w:t>
      </w:r>
      <w:r>
        <w:rPr>
          <w:rFonts w:hint="eastAsia" w:ascii="宋体" w:hAnsi="Times New Roman" w:eastAsia="宋体" w:cs="Times New Roman"/>
          <w:color w:val="auto"/>
          <w:szCs w:val="21"/>
        </w:rPr>
        <w:t>承诺书（格式见附件）；</w:t>
      </w:r>
    </w:p>
    <w:p w14:paraId="47249BAC">
      <w:pPr>
        <w:spacing w:line="500" w:lineRule="exact"/>
        <w:ind w:firstLine="420" w:firstLineChars="200"/>
        <w:jc w:val="left"/>
        <w:rPr>
          <w:rFonts w:hint="eastAsia" w:ascii="宋体" w:hAnsi="Times New Roman" w:eastAsia="宋体" w:cs="Times New Roman"/>
          <w:color w:val="auto"/>
          <w:szCs w:val="21"/>
        </w:rPr>
      </w:pPr>
      <w:r>
        <w:rPr>
          <w:rFonts w:hint="eastAsia" w:ascii="宋体" w:hAnsi="Times New Roman" w:eastAsia="宋体" w:cs="Times New Roman"/>
          <w:color w:val="auto"/>
          <w:szCs w:val="21"/>
        </w:rPr>
        <w:t>（</w:t>
      </w:r>
      <w:r>
        <w:rPr>
          <w:rFonts w:hint="eastAsia" w:ascii="宋体" w:cs="Times New Roman"/>
          <w:color w:val="auto"/>
          <w:szCs w:val="21"/>
          <w:lang w:val="en-US" w:eastAsia="zh-CN"/>
        </w:rPr>
        <w:t>5</w:t>
      </w:r>
      <w:r>
        <w:rPr>
          <w:rFonts w:hint="eastAsia" w:ascii="宋体" w:hAnsi="Times New Roman" w:eastAsia="宋体" w:cs="Times New Roman"/>
          <w:color w:val="auto"/>
          <w:szCs w:val="21"/>
        </w:rPr>
        <w:t>）服务承诺书（格式见附件）；</w:t>
      </w:r>
    </w:p>
    <w:p w14:paraId="32D20A1B">
      <w:pPr>
        <w:spacing w:line="500" w:lineRule="exact"/>
        <w:ind w:firstLine="420" w:firstLineChars="200"/>
        <w:jc w:val="left"/>
        <w:rPr>
          <w:rFonts w:hint="eastAsia" w:ascii="宋体" w:hAnsi="Times New Roman" w:eastAsia="宋体" w:cs="Times New Roman"/>
          <w:color w:val="auto"/>
          <w:szCs w:val="21"/>
        </w:rPr>
      </w:pPr>
      <w:r>
        <w:rPr>
          <w:rFonts w:hint="eastAsia" w:ascii="宋体" w:hAnsi="Times New Roman" w:eastAsia="宋体" w:cs="Times New Roman"/>
          <w:color w:val="auto"/>
          <w:szCs w:val="21"/>
        </w:rPr>
        <w:t>（</w:t>
      </w:r>
      <w:r>
        <w:rPr>
          <w:rFonts w:hint="eastAsia" w:ascii="宋体" w:cs="Times New Roman"/>
          <w:color w:val="auto"/>
          <w:szCs w:val="21"/>
          <w:lang w:val="en-US" w:eastAsia="zh-CN"/>
        </w:rPr>
        <w:t>6</w:t>
      </w:r>
      <w:r>
        <w:rPr>
          <w:rFonts w:hint="eastAsia" w:ascii="宋体" w:hAnsi="Times New Roman" w:eastAsia="宋体" w:cs="Times New Roman"/>
          <w:color w:val="auto"/>
          <w:szCs w:val="21"/>
        </w:rPr>
        <w:t>）开标一览表（格式见附件）；</w:t>
      </w:r>
    </w:p>
    <w:p w14:paraId="00D3D2BB">
      <w:pPr>
        <w:spacing w:line="500" w:lineRule="exact"/>
        <w:ind w:firstLine="420" w:firstLineChars="200"/>
        <w:jc w:val="left"/>
        <w:rPr>
          <w:rFonts w:hint="default" w:ascii="宋体" w:hAnsi="Times New Roman" w:eastAsia="宋体" w:cs="Times New Roman"/>
          <w:color w:val="auto"/>
          <w:szCs w:val="21"/>
          <w:lang w:val="en-US" w:eastAsia="zh-CN"/>
        </w:rPr>
      </w:pPr>
      <w:r>
        <w:rPr>
          <w:rFonts w:hint="eastAsia" w:ascii="宋体" w:hAnsi="Times New Roman" w:eastAsia="宋体" w:cs="Times New Roman"/>
          <w:color w:val="auto"/>
          <w:szCs w:val="21"/>
          <w:lang w:eastAsia="zh-CN"/>
        </w:rPr>
        <w:t>（</w:t>
      </w:r>
      <w:r>
        <w:rPr>
          <w:rFonts w:hint="eastAsia" w:ascii="宋体" w:cs="Times New Roman"/>
          <w:color w:val="auto"/>
          <w:szCs w:val="21"/>
          <w:lang w:val="en-US" w:eastAsia="zh-CN"/>
        </w:rPr>
        <w:t>7</w:t>
      </w:r>
      <w:r>
        <w:rPr>
          <w:rFonts w:hint="eastAsia" w:ascii="宋体" w:hAnsi="Times New Roman" w:eastAsia="宋体" w:cs="Times New Roman"/>
          <w:color w:val="auto"/>
          <w:szCs w:val="21"/>
          <w:lang w:val="en-US" w:eastAsia="zh-CN"/>
        </w:rPr>
        <w:t>）投标函</w:t>
      </w:r>
      <w:r>
        <w:rPr>
          <w:rFonts w:hint="eastAsia" w:ascii="宋体" w:hAnsi="Times New Roman" w:eastAsia="宋体" w:cs="Times New Roman"/>
          <w:color w:val="auto"/>
          <w:szCs w:val="21"/>
        </w:rPr>
        <w:t>（格式见附件）；</w:t>
      </w:r>
    </w:p>
    <w:p w14:paraId="45DDCFBF">
      <w:pPr>
        <w:spacing w:line="500" w:lineRule="exact"/>
        <w:ind w:firstLine="420" w:firstLineChars="200"/>
        <w:jc w:val="left"/>
        <w:rPr>
          <w:rFonts w:hint="eastAsia" w:ascii="宋体" w:hAnsi="Times New Roman" w:eastAsia="宋体" w:cs="Times New Roman"/>
          <w:color w:val="auto"/>
          <w:szCs w:val="21"/>
          <w:lang w:eastAsia="zh-CN"/>
        </w:rPr>
      </w:pPr>
      <w:r>
        <w:rPr>
          <w:rFonts w:hint="eastAsia" w:ascii="宋体" w:hAnsi="Times New Roman" w:eastAsia="宋体" w:cs="Times New Roman"/>
          <w:color w:val="auto"/>
          <w:szCs w:val="21"/>
        </w:rPr>
        <w:t>（</w:t>
      </w:r>
      <w:r>
        <w:rPr>
          <w:rFonts w:hint="eastAsia" w:ascii="宋体" w:cs="Times New Roman"/>
          <w:color w:val="auto"/>
          <w:szCs w:val="21"/>
          <w:lang w:val="en-US" w:eastAsia="zh-CN"/>
        </w:rPr>
        <w:t>8</w:t>
      </w:r>
      <w:r>
        <w:rPr>
          <w:rFonts w:hint="eastAsia" w:ascii="宋体" w:hAnsi="Times New Roman" w:eastAsia="宋体" w:cs="Times New Roman"/>
          <w:color w:val="auto"/>
          <w:szCs w:val="21"/>
        </w:rPr>
        <w:t>）</w:t>
      </w:r>
      <w:r>
        <w:rPr>
          <w:rFonts w:hint="eastAsia" w:ascii="宋体" w:hAnsi="Times New Roman" w:eastAsia="宋体" w:cs="Times New Roman"/>
          <w:color w:val="auto"/>
          <w:szCs w:val="21"/>
          <w:lang w:val="en-US" w:eastAsia="zh-CN"/>
        </w:rPr>
        <w:t>招标</w:t>
      </w:r>
      <w:r>
        <w:rPr>
          <w:rFonts w:hint="eastAsia" w:ascii="宋体" w:hAnsi="Times New Roman" w:eastAsia="宋体" w:cs="Times New Roman"/>
          <w:color w:val="auto"/>
          <w:szCs w:val="21"/>
        </w:rPr>
        <w:t>文件中要求的其他材料（如有）</w:t>
      </w:r>
      <w:r>
        <w:rPr>
          <w:rFonts w:hint="eastAsia" w:ascii="宋体" w:hAnsi="Times New Roman" w:eastAsia="宋体" w:cs="Times New Roman"/>
          <w:color w:val="auto"/>
          <w:szCs w:val="21"/>
          <w:lang w:val="en-US" w:eastAsia="zh-CN"/>
        </w:rPr>
        <w:t>.</w:t>
      </w:r>
    </w:p>
    <w:p w14:paraId="52371B11">
      <w:pPr>
        <w:spacing w:line="500" w:lineRule="exact"/>
        <w:ind w:firstLine="420" w:firstLineChars="200"/>
        <w:jc w:val="left"/>
        <w:rPr>
          <w:rFonts w:ascii="宋体"/>
          <w:color w:val="auto"/>
          <w:szCs w:val="21"/>
        </w:rPr>
      </w:pPr>
    </w:p>
    <w:p w14:paraId="1FD75D18">
      <w:pPr>
        <w:spacing w:line="400" w:lineRule="exact"/>
        <w:ind w:firstLine="562" w:firstLineChars="200"/>
        <w:rPr>
          <w:b/>
          <w:color w:val="auto"/>
          <w:sz w:val="28"/>
          <w:szCs w:val="28"/>
        </w:rPr>
      </w:pPr>
    </w:p>
    <w:p w14:paraId="370B4C1A">
      <w:pPr>
        <w:spacing w:line="400" w:lineRule="exact"/>
        <w:ind w:firstLine="562" w:firstLineChars="200"/>
        <w:rPr>
          <w:b/>
          <w:color w:val="auto"/>
          <w:sz w:val="28"/>
          <w:szCs w:val="28"/>
        </w:rPr>
      </w:pPr>
    </w:p>
    <w:p w14:paraId="09E594E0">
      <w:pPr>
        <w:spacing w:line="400" w:lineRule="exact"/>
        <w:ind w:firstLine="562" w:firstLineChars="200"/>
        <w:rPr>
          <w:b/>
          <w:color w:val="auto"/>
          <w:sz w:val="28"/>
          <w:szCs w:val="28"/>
        </w:rPr>
      </w:pPr>
    </w:p>
    <w:p w14:paraId="235911AE">
      <w:pPr>
        <w:spacing w:line="400" w:lineRule="exact"/>
        <w:ind w:firstLine="562" w:firstLineChars="200"/>
        <w:rPr>
          <w:b/>
          <w:color w:val="auto"/>
          <w:sz w:val="28"/>
          <w:szCs w:val="28"/>
        </w:rPr>
      </w:pPr>
    </w:p>
    <w:p w14:paraId="52FD35E4">
      <w:pPr>
        <w:spacing w:line="400" w:lineRule="exact"/>
        <w:ind w:firstLine="562" w:firstLineChars="200"/>
        <w:rPr>
          <w:b/>
          <w:color w:val="auto"/>
          <w:sz w:val="28"/>
          <w:szCs w:val="28"/>
        </w:rPr>
      </w:pPr>
    </w:p>
    <w:p w14:paraId="3743E6E4">
      <w:pPr>
        <w:spacing w:line="400" w:lineRule="exact"/>
        <w:rPr>
          <w:b/>
          <w:color w:val="auto"/>
          <w:sz w:val="28"/>
          <w:szCs w:val="28"/>
        </w:rPr>
        <w:sectPr>
          <w:headerReference r:id="rId8" w:type="default"/>
          <w:footerReference r:id="rId9" w:type="default"/>
          <w:pgSz w:w="11906" w:h="16838"/>
          <w:pgMar w:top="1440" w:right="1286" w:bottom="1440" w:left="1800" w:header="851" w:footer="992" w:gutter="0"/>
          <w:pgNumType w:fmt="numberInDash" w:start="1"/>
          <w:cols w:space="720" w:num="1"/>
          <w:docGrid w:type="lines" w:linePitch="312" w:charSpace="0"/>
        </w:sectPr>
      </w:pPr>
    </w:p>
    <w:p w14:paraId="54D8C531">
      <w:pPr>
        <w:spacing w:line="360" w:lineRule="auto"/>
        <w:rPr>
          <w:b/>
          <w:color w:val="auto"/>
          <w:sz w:val="28"/>
          <w:szCs w:val="28"/>
        </w:rPr>
      </w:pPr>
      <w:r>
        <w:rPr>
          <w:rFonts w:hint="eastAsia"/>
          <w:b/>
          <w:color w:val="auto"/>
          <w:sz w:val="28"/>
          <w:szCs w:val="28"/>
        </w:rPr>
        <w:t>附件1</w:t>
      </w:r>
    </w:p>
    <w:p w14:paraId="75A79258">
      <w:pPr>
        <w:spacing w:line="360" w:lineRule="auto"/>
        <w:ind w:left="720"/>
        <w:jc w:val="center"/>
        <w:rPr>
          <w:rFonts w:ascii="宋体"/>
          <w:b/>
          <w:color w:val="auto"/>
          <w:sz w:val="28"/>
          <w:szCs w:val="28"/>
        </w:rPr>
      </w:pPr>
      <w:r>
        <w:rPr>
          <w:rFonts w:hint="eastAsia"/>
          <w:b/>
          <w:color w:val="auto"/>
          <w:sz w:val="28"/>
          <w:szCs w:val="28"/>
        </w:rPr>
        <w:t>法定代表人身份证明或授权委托书</w:t>
      </w:r>
    </w:p>
    <w:p w14:paraId="4BD2D961">
      <w:pPr>
        <w:pStyle w:val="123"/>
        <w:spacing w:before="312" w:beforeLines="100" w:after="312" w:afterLines="100" w:line="480" w:lineRule="exact"/>
        <w:ind w:firstLine="180" w:firstLineChars="75"/>
        <w:rPr>
          <w:rFonts w:ascii="宋体"/>
          <w:b/>
          <w:color w:val="auto"/>
          <w:sz w:val="24"/>
          <w:szCs w:val="24"/>
        </w:rPr>
      </w:pPr>
      <w:r>
        <w:rPr>
          <w:rFonts w:hint="eastAsia" w:ascii="宋体"/>
          <w:color w:val="auto"/>
          <w:sz w:val="24"/>
          <w:szCs w:val="24"/>
        </w:rPr>
        <w:t>1.法定代表人身份证明</w:t>
      </w:r>
    </w:p>
    <w:p w14:paraId="6C300616">
      <w:pPr>
        <w:spacing w:line="480" w:lineRule="exact"/>
        <w:ind w:firstLine="480" w:firstLineChars="200"/>
        <w:rPr>
          <w:rFonts w:ascii="宋体"/>
          <w:color w:val="auto"/>
          <w:sz w:val="24"/>
        </w:rPr>
      </w:pPr>
      <w:r>
        <w:rPr>
          <w:rFonts w:hint="eastAsia" w:ascii="宋体"/>
          <w:color w:val="auto"/>
          <w:sz w:val="24"/>
        </w:rPr>
        <w:t>投标人名称：</w:t>
      </w:r>
      <w:r>
        <w:rPr>
          <w:rFonts w:hint="eastAsia" w:ascii="宋体"/>
          <w:color w:val="auto"/>
          <w:sz w:val="24"/>
          <w:u w:val="single"/>
        </w:rPr>
        <w:t xml:space="preserve">                                </w:t>
      </w:r>
      <w:r>
        <w:rPr>
          <w:rFonts w:hint="eastAsia" w:ascii="宋体"/>
          <w:color w:val="auto"/>
          <w:sz w:val="24"/>
        </w:rPr>
        <w:t xml:space="preserve"> </w:t>
      </w:r>
    </w:p>
    <w:p w14:paraId="3FB957D5">
      <w:pPr>
        <w:spacing w:line="480" w:lineRule="exact"/>
        <w:ind w:firstLine="480" w:firstLineChars="200"/>
        <w:rPr>
          <w:rFonts w:ascii="宋体"/>
          <w:color w:val="auto"/>
          <w:sz w:val="24"/>
        </w:rPr>
      </w:pPr>
      <w:r>
        <w:rPr>
          <w:rFonts w:hint="eastAsia" w:ascii="宋体"/>
          <w:color w:val="auto"/>
          <w:sz w:val="24"/>
        </w:rPr>
        <w:t xml:space="preserve">单位性质： </w:t>
      </w:r>
      <w:r>
        <w:rPr>
          <w:rFonts w:hint="eastAsia" w:ascii="宋体"/>
          <w:color w:val="auto"/>
          <w:sz w:val="24"/>
          <w:u w:val="single"/>
        </w:rPr>
        <w:t xml:space="preserve">                                  </w:t>
      </w:r>
      <w:r>
        <w:rPr>
          <w:rFonts w:hint="eastAsia" w:ascii="宋体"/>
          <w:color w:val="auto"/>
          <w:sz w:val="24"/>
        </w:rPr>
        <w:t xml:space="preserve"> </w:t>
      </w:r>
    </w:p>
    <w:p w14:paraId="79704F6A">
      <w:pPr>
        <w:spacing w:line="480" w:lineRule="exact"/>
        <w:ind w:firstLine="480" w:firstLineChars="200"/>
        <w:rPr>
          <w:rFonts w:ascii="宋体"/>
          <w:color w:val="auto"/>
          <w:sz w:val="24"/>
        </w:rPr>
      </w:pPr>
      <w:r>
        <w:rPr>
          <w:rFonts w:hint="eastAsia" w:ascii="宋体"/>
          <w:color w:val="auto"/>
          <w:sz w:val="24"/>
        </w:rPr>
        <w:t>地    址：</w:t>
      </w:r>
      <w:r>
        <w:rPr>
          <w:rFonts w:hint="eastAsia" w:ascii="宋体"/>
          <w:color w:val="auto"/>
          <w:sz w:val="24"/>
          <w:u w:val="single"/>
        </w:rPr>
        <w:t xml:space="preserve">                                   </w:t>
      </w:r>
      <w:r>
        <w:rPr>
          <w:rFonts w:hint="eastAsia" w:ascii="宋体"/>
          <w:color w:val="auto"/>
          <w:sz w:val="24"/>
        </w:rPr>
        <w:t xml:space="preserve"> </w:t>
      </w:r>
    </w:p>
    <w:p w14:paraId="62C9C77A">
      <w:pPr>
        <w:spacing w:line="480" w:lineRule="exact"/>
        <w:ind w:firstLine="480" w:firstLineChars="200"/>
        <w:rPr>
          <w:rFonts w:ascii="宋体"/>
          <w:color w:val="auto"/>
          <w:sz w:val="24"/>
        </w:rPr>
      </w:pPr>
      <w:r>
        <w:rPr>
          <w:rFonts w:hint="eastAsia" w:ascii="宋体"/>
          <w:color w:val="auto"/>
          <w:sz w:val="24"/>
        </w:rPr>
        <w:t>成立时间：</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＿日</w:t>
      </w:r>
    </w:p>
    <w:p w14:paraId="7C4A4A19">
      <w:pPr>
        <w:spacing w:line="480" w:lineRule="exact"/>
        <w:ind w:firstLine="480" w:firstLineChars="200"/>
        <w:rPr>
          <w:rFonts w:ascii="宋体"/>
          <w:color w:val="auto"/>
          <w:sz w:val="24"/>
        </w:rPr>
      </w:pPr>
      <w:r>
        <w:rPr>
          <w:rFonts w:hint="eastAsia" w:ascii="宋体"/>
          <w:color w:val="auto"/>
          <w:sz w:val="24"/>
        </w:rPr>
        <w:t>经营期限：</w:t>
      </w:r>
      <w:r>
        <w:rPr>
          <w:rFonts w:hint="eastAsia" w:ascii="宋体"/>
          <w:color w:val="auto"/>
          <w:sz w:val="24"/>
          <w:u w:val="single"/>
        </w:rPr>
        <w:t xml:space="preserve">                                </w:t>
      </w:r>
      <w:r>
        <w:rPr>
          <w:rFonts w:hint="eastAsia" w:ascii="宋体"/>
          <w:color w:val="auto"/>
          <w:sz w:val="24"/>
        </w:rPr>
        <w:t xml:space="preserve"> </w:t>
      </w:r>
    </w:p>
    <w:p w14:paraId="63E13C5E">
      <w:pPr>
        <w:spacing w:line="480" w:lineRule="exact"/>
        <w:ind w:firstLine="1440" w:firstLineChars="200"/>
        <w:rPr>
          <w:rFonts w:ascii="宋体"/>
          <w:color w:val="auto"/>
          <w:sz w:val="24"/>
        </w:rPr>
      </w:pPr>
      <w:r>
        <w:rPr>
          <w:rFonts w:hint="eastAsia" w:ascii="宋体"/>
          <w:color w:val="auto"/>
          <w:spacing w:val="240"/>
          <w:sz w:val="24"/>
        </w:rPr>
        <w:t>姓</w:t>
      </w:r>
      <w:r>
        <w:rPr>
          <w:rFonts w:hint="eastAsia" w:ascii="宋体"/>
          <w:color w:val="auto"/>
          <w:sz w:val="24"/>
        </w:rPr>
        <w:t>名：</w:t>
      </w:r>
      <w:r>
        <w:rPr>
          <w:rFonts w:hint="eastAsia" w:ascii="宋体"/>
          <w:color w:val="auto"/>
          <w:sz w:val="24"/>
          <w:u w:val="single"/>
        </w:rPr>
        <w:t xml:space="preserve">           </w:t>
      </w:r>
      <w:r>
        <w:rPr>
          <w:rFonts w:hint="eastAsia" w:ascii="宋体"/>
          <w:color w:val="auto"/>
          <w:sz w:val="24"/>
        </w:rPr>
        <w:t>性别：</w:t>
      </w:r>
      <w:r>
        <w:rPr>
          <w:rFonts w:hint="eastAsia" w:ascii="宋体"/>
          <w:color w:val="auto"/>
          <w:sz w:val="24"/>
          <w:u w:val="single"/>
        </w:rPr>
        <w:t xml:space="preserve">        </w:t>
      </w:r>
      <w:r>
        <w:rPr>
          <w:rFonts w:hint="eastAsia" w:ascii="宋体"/>
          <w:color w:val="auto"/>
          <w:sz w:val="24"/>
        </w:rPr>
        <w:t>年龄：＿</w:t>
      </w:r>
      <w:r>
        <w:rPr>
          <w:rFonts w:hint="eastAsia" w:ascii="宋体"/>
          <w:color w:val="auto"/>
          <w:sz w:val="24"/>
          <w:u w:val="single"/>
        </w:rPr>
        <w:t xml:space="preserve">  </w:t>
      </w:r>
      <w:r>
        <w:rPr>
          <w:rFonts w:hint="eastAsia" w:ascii="宋体"/>
          <w:color w:val="auto"/>
          <w:sz w:val="24"/>
        </w:rPr>
        <w:t>职务：</w:t>
      </w:r>
      <w:r>
        <w:rPr>
          <w:rFonts w:hint="eastAsia" w:ascii="宋体"/>
          <w:color w:val="auto"/>
          <w:sz w:val="24"/>
          <w:u w:val="single"/>
        </w:rPr>
        <w:t xml:space="preserve">       </w:t>
      </w:r>
      <w:r>
        <w:rPr>
          <w:rFonts w:hint="eastAsia" w:ascii="宋体"/>
          <w:color w:val="auto"/>
          <w:sz w:val="24"/>
        </w:rPr>
        <w:t>_</w:t>
      </w:r>
    </w:p>
    <w:p w14:paraId="303334F5">
      <w:pPr>
        <w:spacing w:line="480" w:lineRule="exact"/>
        <w:ind w:firstLine="480" w:firstLineChars="200"/>
        <w:rPr>
          <w:rFonts w:ascii="宋体"/>
          <w:color w:val="auto"/>
          <w:sz w:val="24"/>
        </w:rPr>
      </w:pPr>
      <w:r>
        <w:rPr>
          <w:rFonts w:hint="eastAsia" w:ascii="宋体"/>
          <w:color w:val="auto"/>
          <w:sz w:val="24"/>
        </w:rPr>
        <w:t>系</w:t>
      </w:r>
      <w:r>
        <w:rPr>
          <w:rFonts w:hint="eastAsia" w:ascii="宋体"/>
          <w:color w:val="auto"/>
          <w:sz w:val="24"/>
          <w:u w:val="single"/>
        </w:rPr>
        <w:t xml:space="preserve">                                </w:t>
      </w:r>
      <w:r>
        <w:rPr>
          <w:rFonts w:hint="eastAsia" w:ascii="宋体"/>
          <w:color w:val="auto"/>
          <w:sz w:val="24"/>
        </w:rPr>
        <w:t>（投标人名称）的法定代表人。</w:t>
      </w:r>
    </w:p>
    <w:p w14:paraId="7226A7A7">
      <w:pPr>
        <w:spacing w:line="480" w:lineRule="exact"/>
        <w:ind w:firstLine="960" w:firstLineChars="400"/>
        <w:rPr>
          <w:rFonts w:ascii="宋体"/>
          <w:color w:val="auto"/>
          <w:sz w:val="24"/>
        </w:rPr>
      </w:pPr>
      <w:r>
        <w:rPr>
          <w:rFonts w:hint="eastAsia" w:ascii="宋体"/>
          <w:color w:val="auto"/>
          <w:sz w:val="24"/>
        </w:rPr>
        <w:t>特此证明。</w:t>
      </w:r>
    </w:p>
    <w:p w14:paraId="30822F62">
      <w:pPr>
        <w:spacing w:line="360" w:lineRule="auto"/>
        <w:ind w:firstLine="3480" w:firstLineChars="1450"/>
        <w:rPr>
          <w:rFonts w:ascii="宋体"/>
          <w:color w:val="auto"/>
          <w:sz w:val="24"/>
        </w:rPr>
      </w:pPr>
      <w:r>
        <w:rPr>
          <w:rFonts w:hint="eastAsia" w:ascii="宋体"/>
          <w:color w:val="auto"/>
          <w:sz w:val="24"/>
        </w:rPr>
        <w:t>投标人：</w:t>
      </w:r>
      <w:r>
        <w:rPr>
          <w:rFonts w:hint="eastAsia" w:ascii="宋体"/>
          <w:color w:val="auto"/>
          <w:sz w:val="24"/>
          <w:u w:val="single"/>
        </w:rPr>
        <w:t xml:space="preserve">                 </w:t>
      </w:r>
      <w:r>
        <w:rPr>
          <w:rFonts w:hint="eastAsia" w:ascii="宋体"/>
          <w:color w:val="auto"/>
          <w:sz w:val="24"/>
        </w:rPr>
        <w:t>（盖单位章）</w:t>
      </w:r>
    </w:p>
    <w:p w14:paraId="69EF04FD">
      <w:pPr>
        <w:wordWrap w:val="0"/>
        <w:spacing w:line="360" w:lineRule="auto"/>
        <w:jc w:val="right"/>
        <w:rPr>
          <w:color w:val="auto"/>
        </w:rPr>
      </w:pPr>
      <w:r>
        <w:rPr>
          <w:rFonts w:hint="eastAsia" w:ascii="宋体"/>
          <w:color w:val="auto"/>
          <w:sz w:val="24"/>
        </w:rPr>
        <w:t xml:space="preserve">                                        </w:t>
      </w:r>
      <w:r>
        <w:rPr>
          <w:rFonts w:hint="eastAsia" w:ascii="宋体"/>
          <w:color w:val="auto"/>
          <w:sz w:val="24"/>
          <w:u w:val="single"/>
        </w:rPr>
        <w:t xml:space="preserve">       </w:t>
      </w:r>
      <w:r>
        <w:rPr>
          <w:rFonts w:hint="eastAsia" w:ascii="宋体"/>
          <w:color w:val="auto"/>
          <w:sz w:val="24"/>
        </w:rPr>
        <w:t xml:space="preserve">年 </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 xml:space="preserve">日  </w:t>
      </w:r>
    </w:p>
    <w:p w14:paraId="108FBE61">
      <w:pPr>
        <w:spacing w:before="312" w:beforeLines="100" w:after="312" w:afterLines="100" w:line="480" w:lineRule="exact"/>
        <w:ind w:firstLine="3654" w:firstLineChars="1305"/>
        <w:rPr>
          <w:rFonts w:ascii="宋体"/>
          <w:color w:val="auto"/>
          <w:sz w:val="28"/>
          <w:szCs w:val="28"/>
        </w:rPr>
      </w:pPr>
      <w:r>
        <w:rPr>
          <w:rFonts w:hint="eastAsia" w:ascii="宋体"/>
          <w:color w:val="auto"/>
          <w:sz w:val="28"/>
          <w:szCs w:val="28"/>
        </w:rPr>
        <w:t>2.授权委托书</w:t>
      </w:r>
    </w:p>
    <w:p w14:paraId="699F2BFD">
      <w:pPr>
        <w:spacing w:line="480" w:lineRule="exact"/>
        <w:ind w:firstLine="480" w:firstLineChars="200"/>
        <w:rPr>
          <w:rFonts w:ascii="宋体"/>
          <w:color w:val="auto"/>
          <w:sz w:val="24"/>
        </w:rPr>
      </w:pPr>
      <w:r>
        <w:rPr>
          <w:rFonts w:hint="eastAsia" w:ascii="宋体"/>
          <w:color w:val="auto"/>
          <w:sz w:val="24"/>
        </w:rPr>
        <w:t xml:space="preserve">本人 </w:t>
      </w:r>
      <w:r>
        <w:rPr>
          <w:rFonts w:hint="eastAsia" w:ascii="宋体"/>
          <w:color w:val="auto"/>
          <w:sz w:val="24"/>
          <w:u w:val="single"/>
        </w:rPr>
        <w:t xml:space="preserve">    </w:t>
      </w:r>
      <w:r>
        <w:rPr>
          <w:rFonts w:hint="eastAsia" w:ascii="宋体"/>
          <w:color w:val="auto"/>
          <w:sz w:val="24"/>
        </w:rPr>
        <w:t>（姓名）系</w:t>
      </w:r>
      <w:r>
        <w:rPr>
          <w:rFonts w:hint="eastAsia" w:ascii="宋体"/>
          <w:color w:val="auto"/>
          <w:sz w:val="24"/>
          <w:u w:val="single"/>
        </w:rPr>
        <w:t xml:space="preserve">       </w:t>
      </w:r>
      <w:r>
        <w:rPr>
          <w:rFonts w:hint="eastAsia" w:ascii="宋体"/>
          <w:color w:val="auto"/>
          <w:sz w:val="24"/>
        </w:rPr>
        <w:t>（投标人）的法定代表人，现委托</w:t>
      </w:r>
      <w:r>
        <w:rPr>
          <w:rFonts w:hint="eastAsia" w:ascii="宋体"/>
          <w:color w:val="auto"/>
          <w:sz w:val="24"/>
          <w:u w:val="single"/>
        </w:rPr>
        <w:t xml:space="preserve">   </w:t>
      </w:r>
      <w:r>
        <w:rPr>
          <w:rFonts w:hint="eastAsia" w:ascii="宋体"/>
          <w:color w:val="auto"/>
          <w:sz w:val="24"/>
        </w:rPr>
        <w:t>（姓名）为我方代理人。代理人根据授权，以我方名义签署、澄清、说明、补正、递交、撤回、修改 “</w:t>
      </w:r>
      <w:r>
        <w:rPr>
          <w:rFonts w:hint="eastAsia" w:ascii="宋体"/>
          <w:color w:val="auto"/>
          <w:sz w:val="24"/>
          <w:u w:val="single"/>
        </w:rPr>
        <w:t xml:space="preserve">      </w:t>
      </w:r>
      <w:r>
        <w:rPr>
          <w:rFonts w:hint="eastAsia" w:ascii="宋体"/>
          <w:color w:val="auto"/>
          <w:sz w:val="24"/>
        </w:rPr>
        <w:t xml:space="preserve"> ”(项目名称、编号）投标文件，全权处理与该项目投标、评审答疑、签订合同以及与合同执行有关的一切事务，其法律后果由我方承担。</w:t>
      </w:r>
    </w:p>
    <w:p w14:paraId="0BB52CCC">
      <w:pPr>
        <w:spacing w:line="480" w:lineRule="exact"/>
        <w:ind w:firstLine="480" w:firstLineChars="200"/>
        <w:rPr>
          <w:rFonts w:ascii="宋体"/>
          <w:color w:val="auto"/>
          <w:sz w:val="24"/>
        </w:rPr>
      </w:pPr>
      <w:r>
        <w:rPr>
          <w:rFonts w:hint="eastAsia" w:ascii="宋体"/>
          <w:color w:val="auto"/>
          <w:sz w:val="24"/>
        </w:rPr>
        <w:t xml:space="preserve">委托期限：                                </w:t>
      </w:r>
    </w:p>
    <w:p w14:paraId="2EDFF50E">
      <w:pPr>
        <w:spacing w:line="480" w:lineRule="exact"/>
        <w:ind w:firstLine="480" w:firstLineChars="200"/>
        <w:rPr>
          <w:rFonts w:ascii="宋体"/>
          <w:color w:val="auto"/>
          <w:sz w:val="24"/>
        </w:rPr>
      </w:pPr>
      <w:r>
        <w:rPr>
          <w:rFonts w:hint="eastAsia" w:ascii="宋体"/>
          <w:color w:val="auto"/>
          <w:sz w:val="24"/>
        </w:rPr>
        <w:t>代理人无转委托权。</w:t>
      </w:r>
    </w:p>
    <w:p w14:paraId="5B9B118F">
      <w:pPr>
        <w:spacing w:line="480" w:lineRule="exact"/>
        <w:ind w:firstLine="480" w:firstLineChars="200"/>
        <w:rPr>
          <w:rFonts w:ascii="宋体"/>
          <w:color w:val="auto"/>
          <w:sz w:val="24"/>
        </w:rPr>
      </w:pPr>
      <w:r>
        <w:rPr>
          <w:rFonts w:hint="eastAsia" w:ascii="宋体"/>
          <w:color w:val="auto"/>
          <w:sz w:val="24"/>
        </w:rPr>
        <w:t>附：授权委托人有效身份证及法定代表人有效身份证</w:t>
      </w:r>
    </w:p>
    <w:p w14:paraId="69DE40A7">
      <w:pPr>
        <w:spacing w:line="480" w:lineRule="exact"/>
        <w:rPr>
          <w:rFonts w:ascii="宋体"/>
          <w:color w:val="auto"/>
          <w:sz w:val="24"/>
        </w:rPr>
      </w:pPr>
      <w:r>
        <w:rPr>
          <w:rFonts w:hint="eastAsia" w:ascii="宋体"/>
          <w:color w:val="auto"/>
          <w:sz w:val="24"/>
        </w:rPr>
        <w:t xml:space="preserve">                                     投标人：             </w:t>
      </w:r>
      <w:r>
        <w:rPr>
          <w:rFonts w:hint="eastAsia" w:ascii="宋体"/>
          <w:color w:val="auto"/>
          <w:sz w:val="28"/>
          <w:szCs w:val="28"/>
        </w:rPr>
        <w:t>（盖单位章）</w:t>
      </w:r>
    </w:p>
    <w:p w14:paraId="0D96B49B">
      <w:pPr>
        <w:spacing w:line="480" w:lineRule="exact"/>
        <w:ind w:firstLine="2280" w:firstLineChars="950"/>
        <w:rPr>
          <w:rFonts w:ascii="宋体"/>
          <w:color w:val="auto"/>
          <w:sz w:val="24"/>
        </w:rPr>
      </w:pPr>
      <w:r>
        <w:rPr>
          <w:rFonts w:hint="eastAsia" w:ascii="宋体"/>
          <w:color w:val="auto"/>
          <w:sz w:val="24"/>
        </w:rPr>
        <w:t xml:space="preserve">法定代表人（身份证号码）：          </w:t>
      </w:r>
      <w:r>
        <w:rPr>
          <w:rFonts w:hint="eastAsia" w:ascii="宋体"/>
          <w:color w:val="auto"/>
          <w:sz w:val="28"/>
          <w:szCs w:val="28"/>
        </w:rPr>
        <w:t>（签字或盖章）</w:t>
      </w:r>
    </w:p>
    <w:p w14:paraId="41AA7BBB">
      <w:pPr>
        <w:spacing w:line="480" w:lineRule="exact"/>
        <w:ind w:firstLine="2820" w:firstLineChars="1175"/>
        <w:rPr>
          <w:rFonts w:ascii="宋体"/>
          <w:color w:val="auto"/>
          <w:sz w:val="24"/>
        </w:rPr>
      </w:pPr>
      <w:r>
        <w:rPr>
          <w:rFonts w:hint="eastAsia" w:ascii="宋体"/>
          <w:color w:val="auto"/>
          <w:sz w:val="24"/>
        </w:rPr>
        <w:t xml:space="preserve">              年    月    日</w:t>
      </w:r>
    </w:p>
    <w:p w14:paraId="427D0AB5">
      <w:pPr>
        <w:spacing w:line="360" w:lineRule="exact"/>
        <w:ind w:firstLine="413" w:firstLineChars="147"/>
        <w:rPr>
          <w:b/>
          <w:color w:val="auto"/>
          <w:sz w:val="28"/>
          <w:szCs w:val="28"/>
          <w:u w:val="single"/>
        </w:rPr>
      </w:pPr>
    </w:p>
    <w:p w14:paraId="47680D3B">
      <w:pPr>
        <w:spacing w:line="360" w:lineRule="exact"/>
        <w:ind w:firstLine="413" w:firstLineChars="147"/>
        <w:rPr>
          <w:b/>
          <w:color w:val="auto"/>
          <w:sz w:val="28"/>
          <w:szCs w:val="28"/>
          <w:u w:val="single"/>
        </w:rPr>
      </w:pPr>
    </w:p>
    <w:p w14:paraId="48477964">
      <w:pPr>
        <w:spacing w:line="360" w:lineRule="exact"/>
        <w:ind w:firstLine="443" w:firstLineChars="147"/>
        <w:rPr>
          <w:rFonts w:ascii="宋体"/>
          <w:b/>
          <w:color w:val="auto"/>
          <w:sz w:val="30"/>
          <w:szCs w:val="30"/>
        </w:rPr>
      </w:pPr>
      <w:r>
        <w:rPr>
          <w:rFonts w:hint="eastAsia" w:ascii="宋体"/>
          <w:b/>
          <w:color w:val="auto"/>
          <w:sz w:val="30"/>
          <w:szCs w:val="30"/>
        </w:rPr>
        <w:t>附件2</w:t>
      </w:r>
    </w:p>
    <w:p w14:paraId="2890D0AE">
      <w:pPr>
        <w:spacing w:line="360" w:lineRule="auto"/>
        <w:jc w:val="center"/>
        <w:rPr>
          <w:b/>
          <w:color w:val="auto"/>
          <w:sz w:val="28"/>
          <w:szCs w:val="28"/>
        </w:rPr>
      </w:pPr>
      <w:bookmarkStart w:id="77" w:name="_Toc440443268"/>
      <w:bookmarkStart w:id="78" w:name="_Toc449028950"/>
      <w:r>
        <w:rPr>
          <w:rFonts w:hint="eastAsia"/>
          <w:b/>
          <w:color w:val="auto"/>
          <w:sz w:val="28"/>
          <w:szCs w:val="28"/>
        </w:rPr>
        <w:t>诚信投标承诺书 </w:t>
      </w:r>
    </w:p>
    <w:p w14:paraId="5FC4BD41">
      <w:pPr>
        <w:spacing w:line="500" w:lineRule="exact"/>
        <w:ind w:firstLine="420" w:firstLineChars="200"/>
        <w:rPr>
          <w:rFonts w:ascii="宋体" w:hAnsi="宋体"/>
          <w:color w:val="auto"/>
          <w:szCs w:val="21"/>
        </w:rPr>
      </w:pPr>
      <w:r>
        <w:rPr>
          <w:rFonts w:hint="eastAsia" w:ascii="宋体" w:hAnsi="宋体"/>
          <w:color w:val="auto"/>
          <w:szCs w:val="21"/>
        </w:rPr>
        <w:t>本人以企业法定代表人的身份郑重承诺：</w:t>
      </w:r>
    </w:p>
    <w:p w14:paraId="688C4ADF">
      <w:pPr>
        <w:spacing w:line="500" w:lineRule="exact"/>
        <w:ind w:firstLine="420" w:firstLineChars="200"/>
        <w:rPr>
          <w:rFonts w:ascii="宋体" w:hAnsi="宋体"/>
          <w:color w:val="auto"/>
          <w:szCs w:val="21"/>
        </w:rPr>
      </w:pPr>
      <w:r>
        <w:rPr>
          <w:rFonts w:hint="eastAsia" w:ascii="宋体" w:hAnsi="宋体"/>
          <w:color w:val="auto"/>
          <w:szCs w:val="21"/>
        </w:rPr>
        <w:t>一、将遵循公开、公正和诚实信用的原则自愿参加</w:t>
      </w:r>
      <w:r>
        <w:rPr>
          <w:rFonts w:hint="eastAsia" w:ascii="宋体" w:hAnsi="宋体"/>
          <w:color w:val="auto"/>
          <w:szCs w:val="21"/>
          <w:u w:val="single"/>
        </w:rPr>
        <w:t xml:space="preserve">                   </w:t>
      </w:r>
      <w:r>
        <w:rPr>
          <w:rFonts w:hint="eastAsia" w:ascii="宋体" w:hAnsi="宋体"/>
          <w:color w:val="auto"/>
          <w:szCs w:val="21"/>
        </w:rPr>
        <w:t>项目的投标，所提供的一切材料都是真实、有效、合法的；</w:t>
      </w:r>
    </w:p>
    <w:p w14:paraId="3909890F">
      <w:pPr>
        <w:spacing w:line="500" w:lineRule="exact"/>
        <w:ind w:firstLine="420" w:firstLineChars="200"/>
        <w:rPr>
          <w:rFonts w:ascii="宋体" w:hAnsi="宋体"/>
          <w:color w:val="auto"/>
          <w:szCs w:val="21"/>
        </w:rPr>
      </w:pPr>
      <w:r>
        <w:rPr>
          <w:rFonts w:hint="eastAsia" w:ascii="宋体" w:hAnsi="宋体"/>
          <w:color w:val="auto"/>
          <w:szCs w:val="21"/>
        </w:rPr>
        <w:t>二、本单位郑重声明，根据《中华人民共和国</w:t>
      </w:r>
      <w:r>
        <w:rPr>
          <w:rFonts w:hint="eastAsia" w:ascii="宋体" w:hAnsi="宋体"/>
          <w:color w:val="auto"/>
          <w:szCs w:val="21"/>
          <w:lang w:val="en-US" w:eastAsia="zh-CN"/>
        </w:rPr>
        <w:t>招标投标</w:t>
      </w:r>
      <w:r>
        <w:rPr>
          <w:rFonts w:hint="eastAsia" w:ascii="宋体" w:hAnsi="宋体"/>
          <w:color w:val="auto"/>
          <w:szCs w:val="21"/>
        </w:rPr>
        <w:t>法》及《中华人民共和国招标投标法实施条例》的规定，我公司具有良好的商业信誉和健全的财务会计制度，具有履行合同所必需的设备和专业技术能力，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ascii="宋体" w:hAnsi="宋体"/>
          <w:color w:val="auto"/>
          <w:szCs w:val="21"/>
        </w:rPr>
      </w:pPr>
      <w:r>
        <w:rPr>
          <w:rFonts w:hint="eastAsia" w:ascii="宋体" w:hAnsi="宋体"/>
          <w:color w:val="auto"/>
          <w:szCs w:val="21"/>
        </w:rPr>
        <w:t>三、不出借、转让资质证书，不让他人挂靠投标，不以他人名义投标或者以其他方式弄虚作假，骗取中标；</w:t>
      </w:r>
    </w:p>
    <w:p w14:paraId="0D16BFBA">
      <w:pPr>
        <w:spacing w:line="500" w:lineRule="exact"/>
        <w:ind w:firstLine="420" w:firstLineChars="200"/>
        <w:rPr>
          <w:rFonts w:ascii="宋体" w:hAnsi="宋体"/>
          <w:color w:val="auto"/>
          <w:szCs w:val="21"/>
        </w:rPr>
      </w:pPr>
      <w:r>
        <w:rPr>
          <w:rFonts w:hint="eastAsia" w:ascii="宋体" w:hAnsi="宋体"/>
          <w:color w:val="auto"/>
          <w:szCs w:val="21"/>
        </w:rPr>
        <w:t>四、不与其他投标人相互串通投标报价，不排挤其他投标人的公平竞争、损害招标人的合法权益；</w:t>
      </w:r>
    </w:p>
    <w:p w14:paraId="2C415BDB">
      <w:pPr>
        <w:spacing w:line="500" w:lineRule="exact"/>
        <w:ind w:firstLine="420" w:firstLineChars="200"/>
        <w:rPr>
          <w:rFonts w:ascii="宋体" w:hAnsi="宋体"/>
          <w:color w:val="auto"/>
          <w:szCs w:val="21"/>
        </w:rPr>
      </w:pPr>
      <w:r>
        <w:rPr>
          <w:rFonts w:hint="eastAsia" w:ascii="宋体" w:hAnsi="宋体"/>
          <w:color w:val="auto"/>
          <w:szCs w:val="21"/>
        </w:rPr>
        <w:t>五、不与招标人、招标代理机构或其他投标人串通投标，损害国家利益、社会公共利益或者他人的合法权益；</w:t>
      </w:r>
    </w:p>
    <w:p w14:paraId="28F47D6C">
      <w:pPr>
        <w:spacing w:line="500" w:lineRule="exact"/>
        <w:ind w:firstLine="420" w:firstLineChars="200"/>
        <w:rPr>
          <w:rFonts w:ascii="宋体" w:hAnsi="宋体"/>
          <w:color w:val="auto"/>
          <w:szCs w:val="21"/>
        </w:rPr>
      </w:pPr>
      <w:r>
        <w:rPr>
          <w:rFonts w:hint="eastAsia" w:ascii="宋体" w:hAnsi="宋体"/>
          <w:color w:val="auto"/>
          <w:szCs w:val="21"/>
        </w:rPr>
        <w:t>六、我公司没有下列情形：</w:t>
      </w:r>
      <w:bookmarkStart w:id="79" w:name="OLE_LINK133"/>
      <w:bookmarkStart w:id="80" w:name="OLE_LINK134"/>
      <w:r>
        <w:rPr>
          <w:rFonts w:hint="eastAsia" w:ascii="宋体" w:hAnsi="宋体"/>
          <w:color w:val="auto"/>
          <w:szCs w:val="21"/>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r>
        <w:rPr>
          <w:rFonts w:hint="eastAsia" w:ascii="宋体" w:hAnsi="宋体"/>
          <w:color w:val="auto"/>
          <w:szCs w:val="21"/>
          <w:lang w:val="en-US" w:eastAsia="zh-CN"/>
        </w:rPr>
        <w:t>.</w:t>
      </w:r>
      <w:r>
        <w:rPr>
          <w:rFonts w:hint="eastAsia" w:ascii="宋体" w:hAnsi="宋体"/>
          <w:color w:val="auto"/>
          <w:szCs w:val="21"/>
        </w:rPr>
        <w:t>（</w:t>
      </w:r>
      <w:bookmarkEnd w:id="79"/>
      <w:bookmarkEnd w:id="80"/>
      <w:r>
        <w:rPr>
          <w:rFonts w:hint="eastAsia" w:ascii="宋体" w:hAnsi="宋体"/>
          <w:color w:val="auto"/>
          <w:szCs w:val="21"/>
        </w:rPr>
        <w:t>若招标文件对投标人所属分公司、办事处等分支机构有上述1-</w:t>
      </w:r>
      <w:r>
        <w:rPr>
          <w:rFonts w:hint="eastAsia" w:ascii="宋体" w:hAnsi="宋体"/>
          <w:color w:val="auto"/>
          <w:szCs w:val="21"/>
          <w:lang w:val="en-US" w:eastAsia="zh-CN"/>
        </w:rPr>
        <w:t>8</w:t>
      </w:r>
      <w:r>
        <w:rPr>
          <w:rFonts w:hint="eastAsia" w:ascii="宋体" w:hAnsi="宋体"/>
          <w:color w:val="auto"/>
          <w:szCs w:val="21"/>
        </w:rPr>
        <w:t>项信誉要求，在此一并承诺我公司所属分公司、办事处等分支机构没有上述1-</w:t>
      </w:r>
      <w:r>
        <w:rPr>
          <w:rFonts w:hint="eastAsia" w:ascii="宋体" w:hAnsi="宋体"/>
          <w:color w:val="auto"/>
          <w:szCs w:val="21"/>
          <w:lang w:val="en-US" w:eastAsia="zh-CN"/>
        </w:rPr>
        <w:t>8</w:t>
      </w:r>
      <w:r>
        <w:rPr>
          <w:rFonts w:hint="eastAsia" w:ascii="宋体" w:hAnsi="宋体"/>
          <w:color w:val="auto"/>
          <w:szCs w:val="21"/>
        </w:rPr>
        <w:t>项情形）。</w:t>
      </w:r>
    </w:p>
    <w:p w14:paraId="51F973DA">
      <w:pPr>
        <w:spacing w:line="500" w:lineRule="exact"/>
        <w:ind w:firstLine="420" w:firstLineChars="200"/>
        <w:rPr>
          <w:rFonts w:ascii="宋体" w:hAnsi="宋体"/>
          <w:color w:val="auto"/>
          <w:szCs w:val="21"/>
        </w:rPr>
      </w:pPr>
      <w:r>
        <w:rPr>
          <w:rFonts w:hint="eastAsia" w:ascii="宋体" w:hAnsi="宋体"/>
          <w:color w:val="auto"/>
          <w:szCs w:val="21"/>
        </w:rPr>
        <w:t>七、严格遵守开标现场纪律，服从监管人员管理；</w:t>
      </w:r>
    </w:p>
    <w:p w14:paraId="14C5211E">
      <w:pPr>
        <w:spacing w:line="500" w:lineRule="exact"/>
        <w:ind w:firstLine="420" w:firstLineChars="200"/>
        <w:rPr>
          <w:rFonts w:ascii="宋体" w:hAnsi="宋体"/>
          <w:color w:val="auto"/>
          <w:szCs w:val="21"/>
        </w:rPr>
      </w:pPr>
      <w:r>
        <w:rPr>
          <w:rFonts w:hint="eastAsia" w:ascii="宋体" w:hAnsi="宋体"/>
          <w:color w:val="auto"/>
          <w:szCs w:val="21"/>
        </w:rPr>
        <w:t>八、保证中标后不转包，若有分包征得招标人同意；</w:t>
      </w:r>
    </w:p>
    <w:p w14:paraId="6399FC23">
      <w:pPr>
        <w:spacing w:line="500" w:lineRule="exact"/>
        <w:ind w:firstLine="420" w:firstLineChars="200"/>
        <w:rPr>
          <w:rFonts w:ascii="宋体" w:hAnsi="宋体"/>
          <w:color w:val="auto"/>
          <w:szCs w:val="21"/>
        </w:rPr>
      </w:pPr>
      <w:r>
        <w:rPr>
          <w:rFonts w:hint="eastAsia" w:ascii="宋体" w:hAnsi="宋体"/>
          <w:color w:val="auto"/>
          <w:szCs w:val="21"/>
        </w:rPr>
        <w:t>九、保证中标之后，按照投标文件要求提供相关后续服务；</w:t>
      </w:r>
    </w:p>
    <w:p w14:paraId="3199B032">
      <w:pPr>
        <w:spacing w:line="500" w:lineRule="exact"/>
        <w:ind w:firstLine="420" w:firstLineChars="200"/>
        <w:rPr>
          <w:rFonts w:ascii="宋体" w:hAnsi="宋体"/>
          <w:color w:val="auto"/>
          <w:szCs w:val="21"/>
        </w:rPr>
      </w:pPr>
      <w:r>
        <w:rPr>
          <w:rFonts w:hint="eastAsia" w:ascii="宋体" w:hAnsi="宋体"/>
          <w:color w:val="auto"/>
          <w:szCs w:val="21"/>
        </w:rPr>
        <w:t>十、保证企业及所属相关人员在本次投标中无行贿等犯罪行为；</w:t>
      </w:r>
    </w:p>
    <w:p w14:paraId="2D8DEA43">
      <w:pPr>
        <w:spacing w:line="500" w:lineRule="exact"/>
        <w:ind w:firstLine="420" w:firstLineChars="200"/>
        <w:rPr>
          <w:rFonts w:ascii="宋体" w:hAnsi="宋体"/>
          <w:color w:val="auto"/>
          <w:szCs w:val="21"/>
        </w:rPr>
      </w:pPr>
      <w:r>
        <w:rPr>
          <w:rFonts w:hint="eastAsia" w:ascii="宋体" w:hAnsi="宋体"/>
          <w:color w:val="auto"/>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ascii="宋体" w:hAnsi="宋体"/>
          <w:color w:val="auto"/>
          <w:szCs w:val="21"/>
        </w:rPr>
      </w:pPr>
      <w:r>
        <w:rPr>
          <w:rFonts w:hint="eastAsia" w:ascii="宋体" w:hAnsi="宋体"/>
          <w:color w:val="auto"/>
          <w:szCs w:val="21"/>
        </w:rPr>
        <w:t>以上内容我已仔细阅读，本公司若有违反承诺内容的行为，自愿接受取消投标或者中标资格、记入不良行为记录等有关处理，愿意承担法律责任，给招标人造成损失的，依法承担赔偿责任。</w:t>
      </w:r>
    </w:p>
    <w:p w14:paraId="460CCEFB">
      <w:pPr>
        <w:spacing w:line="500" w:lineRule="exact"/>
        <w:ind w:firstLine="420" w:firstLineChars="200"/>
        <w:rPr>
          <w:rFonts w:ascii="宋体" w:hAnsi="宋体"/>
          <w:color w:val="auto"/>
          <w:szCs w:val="21"/>
        </w:rPr>
      </w:pPr>
      <w:r>
        <w:rPr>
          <w:rFonts w:hint="eastAsia" w:ascii="宋体" w:hAnsi="宋体"/>
          <w:color w:val="auto"/>
          <w:szCs w:val="21"/>
        </w:rPr>
        <w:t> </w:t>
      </w:r>
    </w:p>
    <w:p w14:paraId="106D0425">
      <w:pPr>
        <w:spacing w:line="500" w:lineRule="exact"/>
        <w:ind w:firstLine="420" w:firstLineChars="200"/>
        <w:rPr>
          <w:rFonts w:ascii="宋体" w:hAnsi="宋体"/>
          <w:color w:val="auto"/>
          <w:szCs w:val="21"/>
        </w:rPr>
      </w:pPr>
      <w:r>
        <w:rPr>
          <w:rFonts w:hint="eastAsia" w:ascii="宋体" w:hAnsi="宋体"/>
          <w:color w:val="auto"/>
          <w:szCs w:val="21"/>
        </w:rPr>
        <w:t>开户银行：                          基本账户：</w:t>
      </w:r>
    </w:p>
    <w:p w14:paraId="62BE0ADA">
      <w:pPr>
        <w:spacing w:line="500" w:lineRule="exact"/>
        <w:ind w:firstLine="420" w:firstLineChars="200"/>
        <w:rPr>
          <w:rFonts w:ascii="宋体" w:hAnsi="宋体"/>
          <w:color w:val="auto"/>
          <w:szCs w:val="21"/>
        </w:rPr>
      </w:pPr>
      <w:r>
        <w:rPr>
          <w:rFonts w:hint="eastAsia" w:ascii="宋体" w:hAnsi="宋体"/>
          <w:color w:val="auto"/>
          <w:szCs w:val="21"/>
        </w:rPr>
        <w:t>投标单位（盖单位章）：          法定代表人（签字或盖章）：</w:t>
      </w:r>
    </w:p>
    <w:p w14:paraId="0F8B5443">
      <w:pPr>
        <w:spacing w:line="500" w:lineRule="exact"/>
        <w:ind w:firstLine="420" w:firstLineChars="200"/>
        <w:rPr>
          <w:rFonts w:ascii="宋体" w:hAnsi="宋体"/>
          <w:color w:val="auto"/>
          <w:szCs w:val="21"/>
        </w:rPr>
      </w:pPr>
    </w:p>
    <w:p w14:paraId="26CD09FF">
      <w:pPr>
        <w:spacing w:line="560" w:lineRule="exact"/>
        <w:jc w:val="right"/>
        <w:rPr>
          <w:rFonts w:ascii="仿宋_GB2312" w:eastAsia="仿宋_GB2312"/>
          <w:color w:val="auto"/>
          <w:sz w:val="32"/>
          <w:szCs w:val="32"/>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日</w:t>
      </w:r>
    </w:p>
    <w:p w14:paraId="7634B614">
      <w:pPr>
        <w:spacing w:line="360" w:lineRule="auto"/>
        <w:jc w:val="center"/>
        <w:rPr>
          <w:b/>
          <w:color w:val="auto"/>
          <w:sz w:val="28"/>
          <w:szCs w:val="28"/>
        </w:rPr>
      </w:pPr>
    </w:p>
    <w:p w14:paraId="4208B35F">
      <w:pPr>
        <w:spacing w:line="360" w:lineRule="exact"/>
        <w:ind w:firstLine="443" w:firstLineChars="147"/>
        <w:rPr>
          <w:rFonts w:ascii="宋体"/>
          <w:b/>
          <w:color w:val="auto"/>
          <w:sz w:val="30"/>
          <w:szCs w:val="30"/>
        </w:rPr>
      </w:pPr>
    </w:p>
    <w:p w14:paraId="60E30D5F">
      <w:pPr>
        <w:spacing w:line="360" w:lineRule="exact"/>
        <w:ind w:firstLine="443" w:firstLineChars="147"/>
        <w:rPr>
          <w:rFonts w:ascii="宋体"/>
          <w:b/>
          <w:color w:val="auto"/>
          <w:sz w:val="30"/>
          <w:szCs w:val="30"/>
        </w:rPr>
      </w:pPr>
    </w:p>
    <w:p w14:paraId="4BCC4F46">
      <w:pPr>
        <w:spacing w:line="360" w:lineRule="exact"/>
        <w:ind w:firstLine="443" w:firstLineChars="147"/>
        <w:rPr>
          <w:rFonts w:ascii="宋体"/>
          <w:b/>
          <w:color w:val="auto"/>
          <w:sz w:val="30"/>
          <w:szCs w:val="30"/>
        </w:rPr>
      </w:pPr>
    </w:p>
    <w:p w14:paraId="14FC7AE2">
      <w:pPr>
        <w:spacing w:line="360" w:lineRule="exact"/>
        <w:ind w:firstLine="443" w:firstLineChars="147"/>
        <w:rPr>
          <w:rFonts w:ascii="宋体"/>
          <w:b/>
          <w:color w:val="auto"/>
          <w:sz w:val="30"/>
          <w:szCs w:val="30"/>
        </w:rPr>
      </w:pPr>
    </w:p>
    <w:p w14:paraId="12A30DB5">
      <w:pPr>
        <w:spacing w:line="360" w:lineRule="exact"/>
        <w:ind w:firstLine="443" w:firstLineChars="147"/>
        <w:rPr>
          <w:rFonts w:ascii="宋体"/>
          <w:b/>
          <w:color w:val="auto"/>
          <w:sz w:val="30"/>
          <w:szCs w:val="30"/>
        </w:rPr>
      </w:pPr>
    </w:p>
    <w:p w14:paraId="201191B9">
      <w:pPr>
        <w:spacing w:line="360" w:lineRule="exact"/>
        <w:ind w:firstLine="443" w:firstLineChars="147"/>
        <w:rPr>
          <w:rFonts w:ascii="宋体"/>
          <w:b/>
          <w:color w:val="auto"/>
          <w:sz w:val="30"/>
          <w:szCs w:val="30"/>
        </w:rPr>
      </w:pPr>
    </w:p>
    <w:p w14:paraId="660D4055">
      <w:pPr>
        <w:spacing w:line="360" w:lineRule="exact"/>
        <w:ind w:firstLine="443" w:firstLineChars="147"/>
        <w:rPr>
          <w:rFonts w:ascii="宋体"/>
          <w:b/>
          <w:color w:val="auto"/>
          <w:sz w:val="30"/>
          <w:szCs w:val="30"/>
        </w:rPr>
      </w:pPr>
    </w:p>
    <w:p w14:paraId="21399F2E">
      <w:pPr>
        <w:spacing w:line="360" w:lineRule="exact"/>
        <w:ind w:firstLine="443" w:firstLineChars="147"/>
        <w:rPr>
          <w:rFonts w:ascii="宋体"/>
          <w:b/>
          <w:color w:val="auto"/>
          <w:sz w:val="30"/>
          <w:szCs w:val="30"/>
        </w:rPr>
      </w:pPr>
    </w:p>
    <w:p w14:paraId="0898CD66">
      <w:pPr>
        <w:rPr>
          <w:rFonts w:ascii="宋体"/>
          <w:b/>
          <w:color w:val="auto"/>
          <w:sz w:val="30"/>
          <w:szCs w:val="30"/>
        </w:rPr>
      </w:pPr>
      <w:r>
        <w:rPr>
          <w:rFonts w:hint="eastAsia" w:ascii="宋体"/>
          <w:b/>
          <w:color w:val="auto"/>
          <w:sz w:val="44"/>
          <w:szCs w:val="44"/>
        </w:rPr>
        <w:br w:type="page"/>
      </w:r>
    </w:p>
    <w:bookmarkEnd w:id="77"/>
    <w:bookmarkEnd w:id="78"/>
    <w:p w14:paraId="3274D6A4">
      <w:pPr>
        <w:spacing w:line="360" w:lineRule="auto"/>
        <w:rPr>
          <w:rFonts w:hint="eastAsia" w:eastAsia="宋体"/>
          <w:b/>
          <w:color w:val="auto"/>
          <w:sz w:val="28"/>
          <w:szCs w:val="28"/>
          <w:lang w:eastAsia="zh-CN"/>
        </w:rPr>
      </w:pPr>
      <w:r>
        <w:rPr>
          <w:rFonts w:hint="eastAsia"/>
          <w:b/>
          <w:color w:val="auto"/>
          <w:sz w:val="28"/>
          <w:szCs w:val="28"/>
        </w:rPr>
        <w:t>附件</w:t>
      </w:r>
      <w:r>
        <w:rPr>
          <w:rFonts w:hint="eastAsia"/>
          <w:b/>
          <w:color w:val="auto"/>
          <w:sz w:val="28"/>
          <w:szCs w:val="28"/>
          <w:lang w:val="en-US" w:eastAsia="zh-CN"/>
        </w:rPr>
        <w:t>3</w:t>
      </w:r>
    </w:p>
    <w:p w14:paraId="2D77DDD0">
      <w:pPr>
        <w:jc w:val="center"/>
        <w:rPr>
          <w:rFonts w:ascii="宋体"/>
          <w:b/>
          <w:color w:val="auto"/>
          <w:sz w:val="30"/>
          <w:szCs w:val="30"/>
        </w:rPr>
      </w:pPr>
      <w:r>
        <w:rPr>
          <w:rFonts w:hint="eastAsia" w:ascii="宋体"/>
          <w:b/>
          <w:color w:val="auto"/>
          <w:sz w:val="30"/>
          <w:szCs w:val="30"/>
        </w:rPr>
        <w:t>服务承诺书</w:t>
      </w:r>
    </w:p>
    <w:p w14:paraId="26CBAAB0">
      <w:pPr>
        <w:ind w:firstLine="480" w:firstLineChars="200"/>
        <w:rPr>
          <w:rFonts w:ascii="宋体"/>
          <w:color w:val="auto"/>
          <w:sz w:val="24"/>
        </w:rPr>
      </w:pPr>
    </w:p>
    <w:p w14:paraId="3B0B3792">
      <w:pPr>
        <w:ind w:firstLine="480" w:firstLineChars="200"/>
        <w:rPr>
          <w:rFonts w:ascii="宋体"/>
          <w:b/>
          <w:color w:val="auto"/>
          <w:sz w:val="24"/>
        </w:rPr>
      </w:pPr>
      <w:r>
        <w:rPr>
          <w:rFonts w:hint="eastAsia" w:ascii="宋体"/>
          <w:color w:val="auto"/>
          <w:sz w:val="24"/>
        </w:rPr>
        <w:t>致：</w:t>
      </w:r>
      <w:r>
        <w:rPr>
          <w:rFonts w:hint="eastAsia" w:ascii="宋体"/>
          <w:color w:val="auto"/>
          <w:sz w:val="24"/>
          <w:u w:val="single"/>
        </w:rPr>
        <w:t xml:space="preserve">               （招标人）</w:t>
      </w:r>
      <w:r>
        <w:rPr>
          <w:rFonts w:hint="eastAsia" w:ascii="宋体"/>
          <w:color w:val="auto"/>
          <w:sz w:val="24"/>
        </w:rPr>
        <w:t>：</w:t>
      </w:r>
    </w:p>
    <w:p w14:paraId="4BF43A2D">
      <w:pPr>
        <w:spacing w:line="800" w:lineRule="exact"/>
        <w:ind w:firstLine="480" w:firstLineChars="200"/>
        <w:rPr>
          <w:rFonts w:ascii="宋体"/>
          <w:color w:val="auto"/>
          <w:sz w:val="24"/>
        </w:rPr>
      </w:pPr>
      <w:r>
        <w:rPr>
          <w:rFonts w:hint="eastAsia" w:ascii="宋体"/>
          <w:color w:val="auto"/>
          <w:sz w:val="24"/>
        </w:rPr>
        <w:t>本承诺声明：</w:t>
      </w:r>
      <w:r>
        <w:rPr>
          <w:rFonts w:hint="eastAsia" w:ascii="宋体"/>
          <w:color w:val="auto"/>
          <w:sz w:val="24"/>
          <w:u w:val="single"/>
        </w:rPr>
        <w:t xml:space="preserve">                   </w:t>
      </w:r>
      <w:r>
        <w:rPr>
          <w:rFonts w:hint="eastAsia" w:ascii="宋体"/>
          <w:color w:val="auto"/>
          <w:sz w:val="24"/>
        </w:rPr>
        <w:t>（投标人名称）对本招标文件的相关要求完全响应。若有幸中标将严格按照以上承诺进行服务。</w:t>
      </w:r>
    </w:p>
    <w:p w14:paraId="5EFF5F92">
      <w:pPr>
        <w:spacing w:line="800" w:lineRule="exact"/>
        <w:ind w:firstLine="480" w:firstLineChars="200"/>
        <w:rPr>
          <w:rFonts w:ascii="宋体"/>
          <w:color w:val="auto"/>
          <w:sz w:val="24"/>
        </w:rPr>
      </w:pPr>
      <w:r>
        <w:rPr>
          <w:rFonts w:hint="eastAsia" w:ascii="宋体"/>
          <w:color w:val="auto"/>
          <w:sz w:val="24"/>
        </w:rPr>
        <w:t>特此声明。</w:t>
      </w:r>
    </w:p>
    <w:p w14:paraId="463781C4">
      <w:pPr>
        <w:spacing w:line="600" w:lineRule="exact"/>
        <w:rPr>
          <w:rFonts w:ascii="宋体"/>
          <w:color w:val="auto"/>
          <w:sz w:val="24"/>
        </w:rPr>
      </w:pPr>
      <w:r>
        <w:rPr>
          <w:rFonts w:hint="eastAsia" w:ascii="宋体"/>
          <w:color w:val="auto"/>
          <w:sz w:val="24"/>
        </w:rPr>
        <w:t> </w:t>
      </w:r>
    </w:p>
    <w:p w14:paraId="2F142BBF">
      <w:pPr>
        <w:spacing w:line="600" w:lineRule="exact"/>
        <w:rPr>
          <w:rFonts w:ascii="宋体"/>
          <w:color w:val="auto"/>
          <w:sz w:val="24"/>
        </w:rPr>
      </w:pPr>
    </w:p>
    <w:p w14:paraId="50F5664D">
      <w:pPr>
        <w:spacing w:line="480" w:lineRule="auto"/>
        <w:ind w:firstLine="480" w:firstLineChars="200"/>
        <w:rPr>
          <w:rFonts w:ascii="宋体" w:hAnsi="宋体"/>
          <w:color w:val="auto"/>
          <w:sz w:val="24"/>
          <w:szCs w:val="21"/>
        </w:rPr>
      </w:pPr>
      <w:r>
        <w:rPr>
          <w:rFonts w:hint="eastAsia" w:ascii="宋体"/>
          <w:color w:val="auto"/>
          <w:sz w:val="24"/>
        </w:rPr>
        <w:t xml:space="preserve">                </w:t>
      </w:r>
      <w:r>
        <w:rPr>
          <w:rFonts w:hint="eastAsia" w:ascii="宋体" w:hAnsi="宋体"/>
          <w:color w:val="auto"/>
          <w:sz w:val="24"/>
          <w:szCs w:val="21"/>
        </w:rPr>
        <w:t>投标人名称：</w:t>
      </w:r>
      <w:r>
        <w:rPr>
          <w:rFonts w:ascii="宋体" w:hAnsi="宋体"/>
          <w:color w:val="auto"/>
          <w:sz w:val="24"/>
          <w:szCs w:val="21"/>
          <w:u w:val="single"/>
        </w:rPr>
        <w:t xml:space="preserve">      </w:t>
      </w:r>
      <w:r>
        <w:rPr>
          <w:rFonts w:hint="eastAsia" w:ascii="宋体" w:hAnsi="宋体"/>
          <w:color w:val="auto"/>
          <w:sz w:val="24"/>
          <w:szCs w:val="21"/>
          <w:u w:val="single"/>
        </w:rPr>
        <w:t xml:space="preserve">                    </w:t>
      </w:r>
      <w:r>
        <w:rPr>
          <w:rFonts w:hint="eastAsia" w:ascii="宋体" w:hAnsi="宋体"/>
          <w:color w:val="auto"/>
          <w:sz w:val="24"/>
          <w:szCs w:val="21"/>
        </w:rPr>
        <w:t>（盖单位章）</w:t>
      </w:r>
    </w:p>
    <w:p w14:paraId="002C4D4D">
      <w:pPr>
        <w:spacing w:line="480" w:lineRule="auto"/>
        <w:ind w:firstLine="480" w:firstLineChars="200"/>
        <w:jc w:val="right"/>
        <w:rPr>
          <w:rFonts w:ascii="宋体" w:hAnsi="宋体"/>
          <w:color w:val="auto"/>
          <w:sz w:val="24"/>
          <w:szCs w:val="21"/>
        </w:rPr>
      </w:pPr>
      <w:r>
        <w:rPr>
          <w:rFonts w:hint="eastAsia" w:ascii="宋体" w:hAnsi="宋体"/>
          <w:color w:val="auto"/>
          <w:sz w:val="24"/>
          <w:szCs w:val="21"/>
        </w:rPr>
        <w:t>法定代表人：</w:t>
      </w:r>
      <w:r>
        <w:rPr>
          <w:rFonts w:hint="eastAsia" w:ascii="宋体" w:hAnsi="宋体"/>
          <w:color w:val="auto"/>
          <w:sz w:val="24"/>
          <w:szCs w:val="21"/>
          <w:u w:val="single"/>
        </w:rPr>
        <w:t xml:space="preserve">                               </w:t>
      </w:r>
      <w:r>
        <w:rPr>
          <w:rFonts w:hint="eastAsia" w:ascii="宋体" w:hAnsi="宋体"/>
          <w:color w:val="auto"/>
          <w:sz w:val="24"/>
          <w:szCs w:val="21"/>
        </w:rPr>
        <w:t>(签字或盖章)</w:t>
      </w:r>
    </w:p>
    <w:p w14:paraId="14B905DB">
      <w:pPr>
        <w:spacing w:line="480" w:lineRule="auto"/>
        <w:jc w:val="right"/>
        <w:rPr>
          <w:b/>
          <w:color w:val="auto"/>
          <w:sz w:val="36"/>
          <w:szCs w:val="28"/>
        </w:rPr>
      </w:pPr>
      <w:r>
        <w:rPr>
          <w:rFonts w:hint="eastAsia" w:ascii="宋体" w:hAnsi="宋体"/>
          <w:color w:val="auto"/>
          <w:sz w:val="24"/>
          <w:szCs w:val="21"/>
        </w:rPr>
        <w:t xml:space="preserve">                                  日    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14:paraId="6A9802E5">
      <w:pPr>
        <w:pStyle w:val="16"/>
        <w:rPr>
          <w:color w:val="auto"/>
        </w:rPr>
      </w:pPr>
    </w:p>
    <w:p w14:paraId="2246AA4E">
      <w:pPr>
        <w:spacing w:line="400" w:lineRule="exact"/>
        <w:ind w:firstLine="562" w:firstLineChars="200"/>
        <w:rPr>
          <w:b/>
          <w:color w:val="auto"/>
          <w:sz w:val="28"/>
          <w:szCs w:val="28"/>
        </w:rPr>
      </w:pPr>
    </w:p>
    <w:p w14:paraId="308F673A">
      <w:pPr>
        <w:spacing w:line="400" w:lineRule="exact"/>
        <w:ind w:firstLine="562" w:firstLineChars="200"/>
        <w:rPr>
          <w:b/>
          <w:color w:val="auto"/>
          <w:sz w:val="28"/>
          <w:szCs w:val="28"/>
        </w:rPr>
      </w:pPr>
    </w:p>
    <w:p w14:paraId="749D2052">
      <w:pPr>
        <w:spacing w:line="400" w:lineRule="exact"/>
        <w:ind w:firstLine="562" w:firstLineChars="200"/>
        <w:rPr>
          <w:b/>
          <w:color w:val="auto"/>
          <w:sz w:val="28"/>
          <w:szCs w:val="28"/>
        </w:rPr>
      </w:pPr>
    </w:p>
    <w:p w14:paraId="4DFB0C3F">
      <w:pPr>
        <w:spacing w:line="400" w:lineRule="exact"/>
        <w:ind w:firstLine="562" w:firstLineChars="200"/>
        <w:rPr>
          <w:b/>
          <w:color w:val="auto"/>
          <w:sz w:val="28"/>
          <w:szCs w:val="28"/>
        </w:rPr>
      </w:pPr>
    </w:p>
    <w:p w14:paraId="5B337762">
      <w:pPr>
        <w:spacing w:line="400" w:lineRule="exact"/>
        <w:ind w:firstLine="562" w:firstLineChars="200"/>
        <w:rPr>
          <w:b/>
          <w:color w:val="auto"/>
          <w:sz w:val="28"/>
          <w:szCs w:val="28"/>
        </w:rPr>
      </w:pPr>
    </w:p>
    <w:p w14:paraId="6CE0801F">
      <w:pPr>
        <w:rPr>
          <w:rFonts w:hint="eastAsia" w:ascii="宋体" w:hAnsi="宋体"/>
          <w:b/>
          <w:color w:val="auto"/>
          <w:sz w:val="30"/>
          <w:szCs w:val="30"/>
        </w:rPr>
      </w:pPr>
      <w:r>
        <w:rPr>
          <w:rFonts w:hint="eastAsia" w:ascii="宋体" w:hAnsi="宋体"/>
          <w:b/>
          <w:color w:val="auto"/>
          <w:sz w:val="30"/>
          <w:szCs w:val="30"/>
        </w:rPr>
        <w:br w:type="page"/>
      </w:r>
    </w:p>
    <w:p w14:paraId="0EF4585B">
      <w:pPr>
        <w:spacing w:line="360" w:lineRule="exact"/>
        <w:ind w:firstLine="443" w:firstLineChars="147"/>
        <w:rPr>
          <w:rFonts w:hint="eastAsia" w:ascii="宋体" w:hAnsi="宋体" w:eastAsia="宋体"/>
          <w:b/>
          <w:color w:val="auto"/>
          <w:sz w:val="30"/>
          <w:szCs w:val="30"/>
          <w:lang w:val="en-US" w:eastAsia="zh-CN"/>
        </w:rPr>
      </w:pPr>
      <w:r>
        <w:rPr>
          <w:rFonts w:hint="eastAsia" w:ascii="宋体" w:hAnsi="宋体"/>
          <w:b/>
          <w:color w:val="auto"/>
          <w:sz w:val="30"/>
          <w:szCs w:val="30"/>
        </w:rPr>
        <w:t>附件</w:t>
      </w:r>
      <w:r>
        <w:rPr>
          <w:rFonts w:hint="eastAsia" w:ascii="宋体" w:hAnsi="宋体"/>
          <w:b/>
          <w:color w:val="auto"/>
          <w:sz w:val="30"/>
          <w:szCs w:val="30"/>
          <w:lang w:val="en-US" w:eastAsia="zh-CN"/>
        </w:rPr>
        <w:t>4</w:t>
      </w:r>
    </w:p>
    <w:p w14:paraId="6963941F">
      <w:pPr>
        <w:spacing w:line="360" w:lineRule="exact"/>
        <w:ind w:firstLine="472" w:firstLineChars="147"/>
        <w:jc w:val="center"/>
        <w:rPr>
          <w:rFonts w:ascii="宋体"/>
          <w:b/>
          <w:color w:val="auto"/>
          <w:sz w:val="32"/>
          <w:szCs w:val="32"/>
        </w:rPr>
      </w:pPr>
    </w:p>
    <w:p w14:paraId="3FBB7EB2">
      <w:pPr>
        <w:spacing w:line="360" w:lineRule="exact"/>
        <w:ind w:firstLine="531" w:firstLineChars="147"/>
        <w:jc w:val="center"/>
        <w:rPr>
          <w:rFonts w:ascii="宋体"/>
          <w:b/>
          <w:color w:val="auto"/>
          <w:sz w:val="36"/>
          <w:szCs w:val="36"/>
        </w:rPr>
      </w:pPr>
      <w:r>
        <w:rPr>
          <w:rFonts w:hint="eastAsia" w:ascii="宋体"/>
          <w:b/>
          <w:color w:val="auto"/>
          <w:sz w:val="36"/>
          <w:szCs w:val="36"/>
        </w:rPr>
        <w:t>开标一览表</w:t>
      </w:r>
    </w:p>
    <w:p w14:paraId="60D0434E">
      <w:pPr>
        <w:spacing w:line="360" w:lineRule="exact"/>
        <w:ind w:firstLine="354" w:firstLineChars="147"/>
        <w:rPr>
          <w:rFonts w:ascii="宋体"/>
          <w:b/>
          <w:color w:val="auto"/>
          <w:sz w:val="24"/>
        </w:rPr>
      </w:pPr>
    </w:p>
    <w:p w14:paraId="5A0BF5CB">
      <w:pPr>
        <w:spacing w:line="360" w:lineRule="exact"/>
        <w:ind w:firstLine="240" w:firstLineChars="100"/>
        <w:rPr>
          <w:rFonts w:ascii="宋体"/>
          <w:color w:val="auto"/>
          <w:sz w:val="24"/>
        </w:rPr>
      </w:pPr>
      <w:r>
        <w:rPr>
          <w:rFonts w:hint="eastAsia" w:ascii="宋体"/>
          <w:color w:val="auto"/>
          <w:sz w:val="24"/>
        </w:rPr>
        <w:t>（注：开标一览表必须编入投标文件，唱标时，以投标文件中的开标一览表进行唱标）</w:t>
      </w:r>
    </w:p>
    <w:p w14:paraId="112BB3D3">
      <w:pPr>
        <w:snapToGrid w:val="0"/>
        <w:spacing w:line="460" w:lineRule="exact"/>
        <w:ind w:left="2940" w:leftChars="1400" w:firstLine="720" w:firstLineChars="300"/>
        <w:rPr>
          <w:rFonts w:ascii="宋体"/>
          <w:color w:val="auto"/>
          <w:sz w:val="24"/>
        </w:rPr>
      </w:pP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E5E0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vAlign w:val="center"/>
          </w:tcPr>
          <w:p w14:paraId="56C5C982">
            <w:pPr>
              <w:spacing w:line="460" w:lineRule="exact"/>
              <w:jc w:val="center"/>
              <w:rPr>
                <w:rFonts w:ascii="宋体"/>
                <w:color w:val="auto"/>
                <w:sz w:val="24"/>
              </w:rPr>
            </w:pPr>
            <w:r>
              <w:rPr>
                <w:rFonts w:hint="eastAsia" w:ascii="宋体"/>
                <w:color w:val="auto"/>
                <w:sz w:val="24"/>
              </w:rPr>
              <w:t>项目名称</w:t>
            </w:r>
          </w:p>
        </w:tc>
        <w:tc>
          <w:tcPr>
            <w:tcW w:w="6952" w:type="dxa"/>
            <w:tcBorders>
              <w:top w:val="single" w:color="auto" w:sz="12" w:space="0"/>
              <w:left w:val="single" w:color="auto" w:sz="12" w:space="0"/>
              <w:bottom w:val="single" w:color="auto" w:sz="12" w:space="0"/>
            </w:tcBorders>
            <w:vAlign w:val="center"/>
          </w:tcPr>
          <w:p w14:paraId="1C3DC6DB">
            <w:pPr>
              <w:spacing w:line="360" w:lineRule="auto"/>
              <w:jc w:val="left"/>
              <w:rPr>
                <w:color w:val="auto"/>
                <w:sz w:val="24"/>
              </w:rPr>
            </w:pPr>
            <w:r>
              <w:rPr>
                <w:rFonts w:hint="eastAsia"/>
                <w:color w:val="auto"/>
                <w:sz w:val="24"/>
              </w:rPr>
              <w:t xml:space="preserve">         </w:t>
            </w:r>
          </w:p>
        </w:tc>
      </w:tr>
      <w:tr w14:paraId="2B07C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5DC89DD8">
            <w:pPr>
              <w:spacing w:line="460" w:lineRule="exact"/>
              <w:jc w:val="center"/>
              <w:rPr>
                <w:rFonts w:ascii="宋体"/>
                <w:color w:val="auto"/>
                <w:sz w:val="24"/>
              </w:rPr>
            </w:pPr>
            <w:r>
              <w:rPr>
                <w:rFonts w:hint="eastAsia" w:ascii="宋体"/>
                <w:color w:val="auto"/>
                <w:sz w:val="24"/>
              </w:rPr>
              <w:t>项目编号</w:t>
            </w:r>
          </w:p>
        </w:tc>
        <w:tc>
          <w:tcPr>
            <w:tcW w:w="6952" w:type="dxa"/>
            <w:tcBorders>
              <w:top w:val="single" w:color="auto" w:sz="12" w:space="0"/>
              <w:left w:val="single" w:color="auto" w:sz="12" w:space="0"/>
            </w:tcBorders>
            <w:vAlign w:val="center"/>
          </w:tcPr>
          <w:p w14:paraId="0FFA190D">
            <w:pPr>
              <w:rPr>
                <w:rFonts w:ascii="宋体"/>
                <w:color w:val="auto"/>
                <w:sz w:val="24"/>
              </w:rPr>
            </w:pPr>
            <w:r>
              <w:rPr>
                <w:rFonts w:hint="eastAsia" w:ascii="宋体"/>
                <w:color w:val="auto"/>
                <w:sz w:val="24"/>
              </w:rPr>
              <w:t xml:space="preserve"> </w:t>
            </w:r>
          </w:p>
        </w:tc>
      </w:tr>
      <w:tr w14:paraId="491B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60B09C0D">
            <w:pPr>
              <w:spacing w:line="460" w:lineRule="exact"/>
              <w:ind w:firstLine="120" w:firstLineChars="50"/>
              <w:rPr>
                <w:rFonts w:ascii="宋体"/>
                <w:color w:val="auto"/>
                <w:sz w:val="24"/>
              </w:rPr>
            </w:pPr>
            <w:r>
              <w:rPr>
                <w:rFonts w:hint="eastAsia" w:ascii="宋体"/>
                <w:color w:val="auto"/>
                <w:sz w:val="24"/>
              </w:rPr>
              <w:t>投标人名称</w:t>
            </w:r>
          </w:p>
        </w:tc>
        <w:tc>
          <w:tcPr>
            <w:tcW w:w="6952" w:type="dxa"/>
            <w:tcBorders>
              <w:left w:val="single" w:color="auto" w:sz="12" w:space="0"/>
            </w:tcBorders>
          </w:tcPr>
          <w:p w14:paraId="7C004709">
            <w:pPr>
              <w:pStyle w:val="20"/>
              <w:spacing w:line="460" w:lineRule="exact"/>
              <w:ind w:left="86" w:leftChars="41"/>
              <w:rPr>
                <w:rFonts w:ascii="宋体" w:eastAsia="宋体"/>
                <w:color w:val="auto"/>
                <w:sz w:val="24"/>
                <w:szCs w:val="24"/>
              </w:rPr>
            </w:pPr>
          </w:p>
        </w:tc>
      </w:tr>
      <w:tr w14:paraId="0AB42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vAlign w:val="center"/>
          </w:tcPr>
          <w:p w14:paraId="6B970750">
            <w:pPr>
              <w:spacing w:line="360" w:lineRule="auto"/>
              <w:jc w:val="center"/>
              <w:rPr>
                <w:rFonts w:ascii="宋体"/>
                <w:color w:val="auto"/>
                <w:sz w:val="24"/>
              </w:rPr>
            </w:pPr>
            <w:r>
              <w:rPr>
                <w:rFonts w:hint="eastAsia" w:ascii="宋体"/>
                <w:color w:val="auto"/>
                <w:sz w:val="24"/>
              </w:rPr>
              <w:t>总投标价\服务期</w:t>
            </w:r>
          </w:p>
        </w:tc>
        <w:tc>
          <w:tcPr>
            <w:tcW w:w="6952" w:type="dxa"/>
            <w:tcBorders>
              <w:left w:val="single" w:color="auto" w:sz="12" w:space="0"/>
            </w:tcBorders>
            <w:vAlign w:val="center"/>
          </w:tcPr>
          <w:p w14:paraId="73CCA11F">
            <w:pPr>
              <w:spacing w:line="900" w:lineRule="exact"/>
              <w:rPr>
                <w:rFonts w:ascii="宋体"/>
                <w:color w:val="auto"/>
                <w:sz w:val="24"/>
              </w:rPr>
            </w:pPr>
            <w:r>
              <w:rPr>
                <w:rFonts w:hint="eastAsia" w:ascii="宋体"/>
                <w:color w:val="auto"/>
                <w:sz w:val="24"/>
              </w:rPr>
              <w:t>投标报价 （大写）：</w:t>
            </w:r>
            <w:r>
              <w:rPr>
                <w:rFonts w:hint="eastAsia" w:ascii="宋体"/>
                <w:color w:val="auto"/>
                <w:sz w:val="24"/>
                <w:u w:val="single"/>
              </w:rPr>
              <w:t xml:space="preserve">                        </w:t>
            </w:r>
            <w:r>
              <w:rPr>
                <w:rFonts w:hint="eastAsia" w:ascii="宋体"/>
                <w:color w:val="auto"/>
                <w:sz w:val="24"/>
              </w:rPr>
              <w:t>；</w:t>
            </w:r>
          </w:p>
          <w:p w14:paraId="37D47D48">
            <w:pPr>
              <w:spacing w:line="900" w:lineRule="exact"/>
              <w:ind w:firstLine="1200" w:firstLineChars="500"/>
              <w:rPr>
                <w:rFonts w:ascii="宋体"/>
                <w:color w:val="auto"/>
                <w:sz w:val="24"/>
              </w:rPr>
            </w:pPr>
            <w:r>
              <w:rPr>
                <w:rFonts w:hint="eastAsia" w:ascii="宋体"/>
                <w:color w:val="auto"/>
                <w:sz w:val="24"/>
              </w:rPr>
              <w:t>(小写) ：</w:t>
            </w:r>
            <w:r>
              <w:rPr>
                <w:rFonts w:hint="eastAsia" w:ascii="宋体"/>
                <w:color w:val="auto"/>
                <w:sz w:val="24"/>
                <w:u w:val="single"/>
              </w:rPr>
              <w:t xml:space="preserve">                   </w:t>
            </w:r>
            <w:r>
              <w:rPr>
                <w:rFonts w:hint="eastAsia" w:ascii="宋体" w:hAnsi="宋体" w:eastAsia="宋体" w:cs="宋体"/>
                <w:color w:val="auto"/>
                <w:sz w:val="24"/>
                <w:u w:val="single"/>
              </w:rPr>
              <w:t>元/年/磅房</w:t>
            </w:r>
            <w:r>
              <w:rPr>
                <w:rFonts w:hint="eastAsia" w:ascii="宋体"/>
                <w:color w:val="auto"/>
                <w:sz w:val="24"/>
              </w:rPr>
              <w:t>；</w:t>
            </w:r>
          </w:p>
          <w:p w14:paraId="4261A588">
            <w:pPr>
              <w:spacing w:line="900" w:lineRule="exact"/>
              <w:rPr>
                <w:rFonts w:ascii="宋体"/>
                <w:color w:val="auto"/>
                <w:sz w:val="24"/>
              </w:rPr>
            </w:pPr>
            <w:r>
              <w:rPr>
                <w:rFonts w:hint="eastAsia" w:ascii="宋体"/>
                <w:color w:val="auto"/>
                <w:sz w:val="24"/>
              </w:rPr>
              <w:t>服务期：响应招标文件要求。</w:t>
            </w:r>
          </w:p>
          <w:p w14:paraId="279D100D">
            <w:pPr>
              <w:pStyle w:val="24"/>
              <w:rPr>
                <w:rFonts w:ascii="宋体"/>
                <w:color w:val="auto"/>
                <w:sz w:val="24"/>
              </w:rPr>
            </w:pPr>
          </w:p>
          <w:p w14:paraId="469684A3">
            <w:pPr>
              <w:pStyle w:val="24"/>
              <w:rPr>
                <w:rFonts w:ascii="宋体"/>
                <w:color w:val="auto"/>
                <w:sz w:val="24"/>
              </w:rPr>
            </w:pPr>
          </w:p>
        </w:tc>
      </w:tr>
    </w:tbl>
    <w:p w14:paraId="41456AF2">
      <w:pPr>
        <w:snapToGrid w:val="0"/>
        <w:spacing w:line="460" w:lineRule="exact"/>
        <w:ind w:left="2940" w:leftChars="1400" w:firstLine="723" w:firstLineChars="300"/>
        <w:rPr>
          <w:rFonts w:ascii="宋体"/>
          <w:b/>
          <w:color w:val="auto"/>
          <w:sz w:val="24"/>
        </w:rPr>
      </w:pPr>
    </w:p>
    <w:p w14:paraId="73BA66C1">
      <w:pPr>
        <w:rPr>
          <w:rFonts w:ascii="宋体"/>
          <w:color w:val="auto"/>
          <w:sz w:val="24"/>
        </w:rPr>
      </w:pPr>
      <w:r>
        <w:rPr>
          <w:rFonts w:hint="eastAsia" w:ascii="宋体"/>
          <w:color w:val="auto"/>
          <w:sz w:val="24"/>
        </w:rPr>
        <w:t>法定代表人（盖章）：         投标人（盖单位章）：</w:t>
      </w:r>
    </w:p>
    <w:p w14:paraId="4AA1D79D">
      <w:pPr>
        <w:snapToGrid w:val="0"/>
        <w:spacing w:before="312" w:beforeLines="100" w:after="312" w:afterLines="100" w:line="360" w:lineRule="auto"/>
        <w:jc w:val="center"/>
        <w:rPr>
          <w:rFonts w:cs="Arial"/>
          <w:b/>
          <w:bCs/>
          <w:color w:val="auto"/>
          <w:sz w:val="30"/>
          <w:szCs w:val="30"/>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rPr>
        <w:t xml:space="preserve">                                      日  期：</w:t>
      </w:r>
      <w:r>
        <w:rPr>
          <w:rFonts w:hint="eastAsia" w:ascii="宋体" w:hAnsi="宋体"/>
          <w:color w:val="auto"/>
          <w:sz w:val="24"/>
          <w:u w:val="single"/>
        </w:rPr>
        <w:t xml:space="preserve">      </w:t>
      </w:r>
      <w:r>
        <w:rPr>
          <w:rFonts w:hint="eastAsia" w:ascii="宋体"/>
          <w:color w:val="auto"/>
          <w:sz w:val="24"/>
        </w:rPr>
        <w:t>年</w:t>
      </w:r>
      <w:r>
        <w:rPr>
          <w:rFonts w:hint="eastAsia" w:ascii="宋体" w:hAnsi="宋体"/>
          <w:color w:val="auto"/>
          <w:sz w:val="24"/>
          <w:u w:val="single"/>
        </w:rPr>
        <w:t xml:space="preserve">   </w:t>
      </w:r>
      <w:r>
        <w:rPr>
          <w:rFonts w:hint="eastAsia" w:ascii="宋体"/>
          <w:color w:val="auto"/>
          <w:sz w:val="24"/>
        </w:rPr>
        <w:t>月</w:t>
      </w:r>
      <w:r>
        <w:rPr>
          <w:rFonts w:hint="eastAsia" w:ascii="宋体" w:hAnsi="宋体"/>
          <w:color w:val="auto"/>
          <w:sz w:val="24"/>
          <w:u w:val="single"/>
        </w:rPr>
        <w:t xml:space="preserve">   </w:t>
      </w:r>
      <w:r>
        <w:rPr>
          <w:rFonts w:hint="eastAsia" w:ascii="宋体"/>
          <w:color w:val="auto"/>
          <w:sz w:val="24"/>
        </w:rPr>
        <w:t xml:space="preserve">日 </w:t>
      </w:r>
    </w:p>
    <w:p w14:paraId="06A2C081">
      <w:pPr>
        <w:spacing w:line="360" w:lineRule="exact"/>
        <w:ind w:firstLine="443" w:firstLineChars="147"/>
        <w:rPr>
          <w:rFonts w:ascii="宋体"/>
          <w:b/>
          <w:color w:val="auto"/>
          <w:sz w:val="30"/>
          <w:szCs w:val="30"/>
        </w:rPr>
      </w:pPr>
    </w:p>
    <w:p w14:paraId="5E858282">
      <w:pPr>
        <w:spacing w:line="360" w:lineRule="exact"/>
        <w:ind w:firstLine="443" w:firstLineChars="147"/>
        <w:rPr>
          <w:rFonts w:hint="eastAsia" w:ascii="宋体" w:hAnsi="宋体" w:eastAsia="宋体"/>
          <w:b/>
          <w:color w:val="auto"/>
          <w:sz w:val="30"/>
          <w:szCs w:val="30"/>
          <w:lang w:eastAsia="zh-CN"/>
        </w:rPr>
      </w:pPr>
      <w:r>
        <w:rPr>
          <w:rFonts w:hint="eastAsia" w:ascii="宋体" w:hAnsi="宋体"/>
          <w:b/>
          <w:color w:val="auto"/>
          <w:sz w:val="30"/>
          <w:szCs w:val="30"/>
        </w:rPr>
        <w:t>附件</w:t>
      </w:r>
      <w:r>
        <w:rPr>
          <w:rFonts w:hint="eastAsia" w:ascii="宋体" w:hAnsi="宋体"/>
          <w:b/>
          <w:color w:val="auto"/>
          <w:sz w:val="30"/>
          <w:szCs w:val="30"/>
          <w:lang w:val="en-US" w:eastAsia="zh-CN"/>
        </w:rPr>
        <w:t>5</w:t>
      </w:r>
    </w:p>
    <w:p w14:paraId="23353D38">
      <w:pPr>
        <w:spacing w:line="360" w:lineRule="exact"/>
        <w:ind w:firstLine="531" w:firstLineChars="147"/>
        <w:jc w:val="center"/>
        <w:rPr>
          <w:rFonts w:ascii="宋体"/>
          <w:b/>
          <w:color w:val="auto"/>
          <w:sz w:val="36"/>
          <w:szCs w:val="36"/>
        </w:rPr>
      </w:pPr>
      <w:r>
        <w:rPr>
          <w:rFonts w:hint="eastAsia" w:ascii="宋体"/>
          <w:b/>
          <w:color w:val="auto"/>
          <w:sz w:val="36"/>
          <w:szCs w:val="36"/>
        </w:rPr>
        <w:t>投  标  函</w:t>
      </w:r>
    </w:p>
    <w:p w14:paraId="13B03063">
      <w:pPr>
        <w:spacing w:line="440" w:lineRule="exact"/>
        <w:rPr>
          <w:rFonts w:ascii="宋体"/>
          <w:color w:val="auto"/>
          <w:sz w:val="24"/>
        </w:rPr>
      </w:pPr>
    </w:p>
    <w:p w14:paraId="7DB4BBAC">
      <w:pPr>
        <w:spacing w:line="500" w:lineRule="exact"/>
        <w:ind w:firstLine="480" w:firstLineChars="200"/>
        <w:jc w:val="left"/>
        <w:rPr>
          <w:rFonts w:ascii="宋体" w:hAnsi="宋体" w:cs="宋体"/>
          <w:color w:val="auto"/>
          <w:sz w:val="24"/>
        </w:rPr>
      </w:pPr>
      <w:r>
        <w:rPr>
          <w:rFonts w:hint="eastAsia" w:ascii="宋体" w:hAnsi="宋体" w:cs="宋体"/>
          <w:color w:val="auto"/>
          <w:sz w:val="24"/>
        </w:rPr>
        <w:t>1.我们决定参加贵单位组织的“</w:t>
      </w:r>
      <w:r>
        <w:rPr>
          <w:rFonts w:hint="eastAsia" w:ascii="宋体" w:hAnsi="宋体" w:cs="宋体"/>
          <w:color w:val="auto"/>
          <w:sz w:val="24"/>
          <w:u w:val="single"/>
        </w:rPr>
        <w:t xml:space="preserve"> （项目名称）       </w:t>
      </w:r>
      <w:r>
        <w:rPr>
          <w:rFonts w:hint="eastAsia" w:ascii="宋体" w:hAnsi="宋体" w:cs="宋体"/>
          <w:color w:val="auto"/>
          <w:sz w:val="24"/>
        </w:rPr>
        <w:t xml:space="preserve">”的采购。我方授权 </w:t>
      </w:r>
      <w:r>
        <w:rPr>
          <w:rFonts w:hint="eastAsia" w:ascii="宋体" w:hAnsi="宋体" w:cs="宋体"/>
          <w:color w:val="auto"/>
          <w:sz w:val="24"/>
          <w:u w:val="single"/>
        </w:rPr>
        <w:t xml:space="preserve">              </w:t>
      </w:r>
      <w:r>
        <w:rPr>
          <w:rFonts w:hint="eastAsia" w:ascii="宋体" w:hAnsi="宋体" w:cs="宋体"/>
          <w:color w:val="auto"/>
          <w:sz w:val="24"/>
        </w:rPr>
        <w:t>(姓名和职务)代表我方</w:t>
      </w:r>
      <w:r>
        <w:rPr>
          <w:rFonts w:hint="eastAsia" w:ascii="宋体" w:hAnsi="宋体" w:cs="宋体"/>
          <w:color w:val="auto"/>
          <w:sz w:val="24"/>
          <w:u w:val="single"/>
        </w:rPr>
        <w:t xml:space="preserve">             </w:t>
      </w:r>
      <w:r>
        <w:rPr>
          <w:rFonts w:hint="eastAsia" w:ascii="宋体" w:hAnsi="宋体" w:cs="宋体"/>
          <w:color w:val="auto"/>
          <w:sz w:val="24"/>
        </w:rPr>
        <w:t>（投标人的名称）全权处理本项目投标的有关事宜。</w:t>
      </w:r>
    </w:p>
    <w:p w14:paraId="0E4FC9EA">
      <w:pPr>
        <w:spacing w:line="440" w:lineRule="exact"/>
        <w:ind w:firstLine="480" w:firstLineChars="200"/>
        <w:rPr>
          <w:rFonts w:ascii="宋体" w:hAnsi="宋体" w:cs="宋体"/>
          <w:color w:val="auto"/>
          <w:sz w:val="24"/>
        </w:rPr>
      </w:pPr>
      <w:r>
        <w:rPr>
          <w:rFonts w:hint="eastAsia" w:ascii="宋体" w:hAnsi="宋体" w:cs="宋体"/>
          <w:color w:val="auto"/>
          <w:sz w:val="24"/>
        </w:rPr>
        <w:t xml:space="preserve">2.我方愿意按照招标文件规定的各项要求，向招标人提供“ </w:t>
      </w:r>
      <w:r>
        <w:rPr>
          <w:rFonts w:hint="eastAsia" w:ascii="宋体" w:hAnsi="宋体" w:cs="宋体"/>
          <w:color w:val="auto"/>
          <w:sz w:val="24"/>
          <w:u w:val="single"/>
        </w:rPr>
        <w:t xml:space="preserve">           </w:t>
      </w:r>
      <w:r>
        <w:rPr>
          <w:rFonts w:hint="eastAsia" w:ascii="宋体" w:hAnsi="宋体" w:cs="宋体"/>
          <w:color w:val="auto"/>
          <w:sz w:val="24"/>
        </w:rPr>
        <w:t>（项目编号）”项目的服务，总投标价为人民币（大写）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（小写）               </w:t>
      </w:r>
      <w:r>
        <w:rPr>
          <w:rFonts w:hint="eastAsia" w:ascii="宋体" w:hAnsi="宋体" w:eastAsia="宋体" w:cs="宋体"/>
          <w:color w:val="auto"/>
          <w:sz w:val="24"/>
          <w:u w:val="single"/>
        </w:rPr>
        <w:t xml:space="preserve">元/年/磅房。 </w:t>
      </w:r>
      <w:r>
        <w:rPr>
          <w:rFonts w:hint="eastAsia" w:ascii="宋体" w:hAnsi="宋体" w:cs="宋体"/>
          <w:color w:val="auto"/>
          <w:sz w:val="24"/>
        </w:rPr>
        <w:t xml:space="preserve"> </w:t>
      </w:r>
    </w:p>
    <w:p w14:paraId="7F4AEFF3">
      <w:pPr>
        <w:spacing w:line="440" w:lineRule="exact"/>
        <w:ind w:firstLine="480" w:firstLineChars="200"/>
        <w:rPr>
          <w:rFonts w:ascii="宋体"/>
          <w:color w:val="auto"/>
          <w:sz w:val="24"/>
        </w:rPr>
      </w:pPr>
      <w:r>
        <w:rPr>
          <w:rFonts w:hint="eastAsia" w:ascii="宋体"/>
          <w:color w:val="auto"/>
          <w:sz w:val="24"/>
        </w:rPr>
        <w:t>3.一旦我方成为合同签字人，我方将严格履行合同规定的责任和义务。</w:t>
      </w:r>
    </w:p>
    <w:p w14:paraId="068B8949">
      <w:pPr>
        <w:spacing w:line="440" w:lineRule="exact"/>
        <w:ind w:firstLine="480" w:firstLineChars="200"/>
        <w:rPr>
          <w:rFonts w:ascii="宋体"/>
          <w:color w:val="auto"/>
          <w:sz w:val="24"/>
        </w:rPr>
      </w:pPr>
      <w:r>
        <w:rPr>
          <w:rFonts w:hint="eastAsia" w:ascii="宋体"/>
          <w:color w:val="auto"/>
          <w:sz w:val="24"/>
        </w:rPr>
        <w:t>4.我方愿意提供可能另外要求的、与采购投标有关的文件资料，并保证我方已提供和将要提供的文件是真实的、准确的。</w:t>
      </w:r>
    </w:p>
    <w:p w14:paraId="1767BD79">
      <w:pPr>
        <w:spacing w:line="440" w:lineRule="exact"/>
        <w:ind w:firstLine="480" w:firstLineChars="200"/>
        <w:rPr>
          <w:rFonts w:ascii="宋体"/>
          <w:color w:val="auto"/>
          <w:sz w:val="24"/>
        </w:rPr>
      </w:pPr>
      <w:r>
        <w:rPr>
          <w:rFonts w:hint="eastAsia" w:ascii="宋体"/>
          <w:color w:val="auto"/>
          <w:sz w:val="24"/>
        </w:rPr>
        <w:t>5.投标有效期为</w:t>
      </w:r>
      <w:r>
        <w:rPr>
          <w:rFonts w:hint="eastAsia" w:ascii="宋体"/>
          <w:color w:val="auto"/>
          <w:sz w:val="24"/>
          <w:u w:val="single"/>
        </w:rPr>
        <w:t xml:space="preserve"> 60 </w:t>
      </w:r>
      <w:r>
        <w:rPr>
          <w:rFonts w:hint="eastAsia" w:ascii="宋体"/>
          <w:color w:val="auto"/>
          <w:sz w:val="24"/>
        </w:rPr>
        <w:t>日历天（从投标截止之日算起）。</w:t>
      </w:r>
    </w:p>
    <w:p w14:paraId="6B196070">
      <w:pPr>
        <w:spacing w:line="440" w:lineRule="exact"/>
        <w:ind w:firstLine="480" w:firstLineChars="200"/>
        <w:rPr>
          <w:rFonts w:ascii="宋体"/>
          <w:color w:val="auto"/>
          <w:sz w:val="24"/>
        </w:rPr>
      </w:pPr>
      <w:r>
        <w:rPr>
          <w:rFonts w:hint="eastAsia" w:ascii="宋体"/>
          <w:color w:val="auto"/>
          <w:sz w:val="24"/>
        </w:rPr>
        <w:t>6.我单位提供如下通讯地址：</w:t>
      </w:r>
      <w:r>
        <w:rPr>
          <w:rFonts w:hint="eastAsia" w:ascii="宋体"/>
          <w:color w:val="auto"/>
          <w:sz w:val="24"/>
          <w:u w:val="single"/>
        </w:rPr>
        <w:t xml:space="preserve">                电子邮箱（地址）</w:t>
      </w:r>
      <w:r>
        <w:rPr>
          <w:rFonts w:hint="eastAsia" w:ascii="宋体"/>
          <w:color w:val="auto"/>
          <w:sz w:val="24"/>
        </w:rPr>
        <w:t>，确认本项目相关法律文书均通过提供的以上地址送达，相关文书只要发送至以上电子邮箱（地址）即视为送达，投标人愿意承担一切法律后果。</w:t>
      </w:r>
    </w:p>
    <w:p w14:paraId="3534B0DE">
      <w:pPr>
        <w:spacing w:line="440" w:lineRule="exact"/>
        <w:rPr>
          <w:rFonts w:ascii="宋体"/>
          <w:color w:val="auto"/>
          <w:sz w:val="24"/>
        </w:rPr>
      </w:pPr>
      <w:r>
        <w:rPr>
          <w:rFonts w:hint="eastAsia" w:ascii="宋体"/>
          <w:color w:val="auto"/>
          <w:sz w:val="24"/>
        </w:rPr>
        <w:t> </w:t>
      </w:r>
    </w:p>
    <w:p w14:paraId="73911EDE">
      <w:pPr>
        <w:spacing w:line="440" w:lineRule="exact"/>
        <w:jc w:val="right"/>
        <w:rPr>
          <w:rFonts w:ascii="宋体"/>
          <w:color w:val="auto"/>
          <w:sz w:val="24"/>
        </w:rPr>
      </w:pPr>
      <w:r>
        <w:rPr>
          <w:rFonts w:hint="eastAsia" w:ascii="宋体"/>
          <w:color w:val="auto"/>
          <w:sz w:val="24"/>
        </w:rPr>
        <w:t>投标人名称：</w:t>
      </w:r>
      <w:r>
        <w:rPr>
          <w:rFonts w:hint="eastAsia" w:ascii="宋体"/>
          <w:color w:val="auto"/>
          <w:sz w:val="24"/>
          <w:u w:val="single"/>
        </w:rPr>
        <w:t xml:space="preserve">                        </w:t>
      </w:r>
      <w:r>
        <w:rPr>
          <w:rFonts w:hint="eastAsia" w:ascii="宋体"/>
          <w:color w:val="auto"/>
          <w:sz w:val="24"/>
        </w:rPr>
        <w:t>（盖单位章）</w:t>
      </w:r>
    </w:p>
    <w:p w14:paraId="2EE797F5">
      <w:pPr>
        <w:spacing w:line="440" w:lineRule="exact"/>
        <w:jc w:val="right"/>
        <w:rPr>
          <w:rFonts w:ascii="宋体"/>
          <w:color w:val="auto"/>
          <w:sz w:val="24"/>
        </w:rPr>
      </w:pPr>
      <w:r>
        <w:rPr>
          <w:rFonts w:hint="eastAsia" w:ascii="宋体"/>
          <w:color w:val="auto"/>
          <w:sz w:val="24"/>
        </w:rPr>
        <w:t>投标人法定代表人：</w:t>
      </w:r>
      <w:r>
        <w:rPr>
          <w:rFonts w:hint="eastAsia" w:ascii="宋体"/>
          <w:color w:val="auto"/>
          <w:sz w:val="24"/>
          <w:u w:val="single"/>
        </w:rPr>
        <w:t xml:space="preserve">                      </w:t>
      </w:r>
      <w:r>
        <w:rPr>
          <w:rFonts w:hint="eastAsia" w:ascii="宋体"/>
          <w:color w:val="auto"/>
          <w:sz w:val="24"/>
        </w:rPr>
        <w:t>（签字或盖章）</w:t>
      </w:r>
    </w:p>
    <w:p w14:paraId="687FB852">
      <w:pPr>
        <w:spacing w:line="440" w:lineRule="exact"/>
        <w:ind w:firstLine="2520" w:firstLineChars="1050"/>
        <w:rPr>
          <w:rFonts w:ascii="宋体"/>
          <w:color w:val="auto"/>
          <w:sz w:val="24"/>
        </w:rPr>
      </w:pPr>
      <w:r>
        <w:rPr>
          <w:rFonts w:hint="eastAsia" w:ascii="宋体"/>
          <w:color w:val="auto"/>
          <w:sz w:val="24"/>
        </w:rPr>
        <w:t>日    期：</w:t>
      </w:r>
      <w:r>
        <w:rPr>
          <w:rFonts w:hint="eastAsia" w:ascii="宋体"/>
          <w:color w:val="auto"/>
          <w:sz w:val="24"/>
          <w:u w:val="single"/>
        </w:rPr>
        <w:t xml:space="preserve">                 </w:t>
      </w:r>
    </w:p>
    <w:p w14:paraId="125508D2">
      <w:pPr>
        <w:spacing w:line="440" w:lineRule="exact"/>
        <w:ind w:firstLine="2520" w:firstLineChars="1050"/>
        <w:rPr>
          <w:rFonts w:ascii="宋体"/>
          <w:color w:val="auto"/>
          <w:sz w:val="24"/>
        </w:rPr>
      </w:pPr>
      <w:r>
        <w:rPr>
          <w:rFonts w:hint="eastAsia" w:ascii="宋体"/>
          <w:color w:val="auto"/>
          <w:sz w:val="24"/>
        </w:rPr>
        <w:t>通讯地址：</w:t>
      </w:r>
      <w:r>
        <w:rPr>
          <w:rFonts w:hint="eastAsia" w:ascii="宋体"/>
          <w:color w:val="auto"/>
          <w:sz w:val="24"/>
          <w:u w:val="single"/>
        </w:rPr>
        <w:t xml:space="preserve">                 </w:t>
      </w:r>
    </w:p>
    <w:p w14:paraId="024B6B03">
      <w:pPr>
        <w:spacing w:line="440" w:lineRule="exact"/>
        <w:ind w:firstLine="2520" w:firstLineChars="1050"/>
        <w:rPr>
          <w:rFonts w:ascii="宋体"/>
          <w:color w:val="auto"/>
          <w:sz w:val="24"/>
        </w:rPr>
      </w:pPr>
      <w:r>
        <w:rPr>
          <w:rFonts w:hint="eastAsia" w:ascii="宋体"/>
          <w:color w:val="auto"/>
          <w:sz w:val="24"/>
        </w:rPr>
        <w:t>电    话：</w:t>
      </w:r>
      <w:r>
        <w:rPr>
          <w:rFonts w:hint="eastAsia" w:ascii="宋体"/>
          <w:color w:val="auto"/>
          <w:sz w:val="24"/>
          <w:u w:val="single"/>
        </w:rPr>
        <w:t xml:space="preserve">                 </w:t>
      </w:r>
    </w:p>
    <w:p w14:paraId="341AF316">
      <w:pPr>
        <w:ind w:right="-178" w:rightChars="-85" w:firstLine="2520" w:firstLineChars="1050"/>
        <w:rPr>
          <w:rFonts w:ascii="宋体"/>
          <w:color w:val="auto"/>
          <w:sz w:val="24"/>
          <w:u w:val="single"/>
        </w:rPr>
      </w:pPr>
      <w:r>
        <w:rPr>
          <w:rFonts w:hint="eastAsia" w:ascii="宋体"/>
          <w:color w:val="auto"/>
          <w:sz w:val="24"/>
        </w:rPr>
        <w:t>传    真：</w:t>
      </w:r>
      <w:r>
        <w:rPr>
          <w:rFonts w:hint="eastAsia" w:ascii="宋体"/>
          <w:color w:val="auto"/>
          <w:sz w:val="24"/>
          <w:u w:val="single"/>
        </w:rPr>
        <w:t xml:space="preserve">                 </w:t>
      </w:r>
    </w:p>
    <w:p w14:paraId="20C9FE22">
      <w:pPr>
        <w:spacing w:line="360" w:lineRule="exact"/>
        <w:rPr>
          <w:rFonts w:ascii="宋体"/>
          <w:b/>
          <w:color w:val="auto"/>
          <w:sz w:val="28"/>
          <w:szCs w:val="28"/>
        </w:rPr>
      </w:pPr>
    </w:p>
    <w:p w14:paraId="0EBCB542">
      <w:pPr>
        <w:rPr>
          <w:rFonts w:ascii="宋体" w:hAnsi="宋体"/>
          <w:b/>
          <w:color w:val="auto"/>
          <w:sz w:val="30"/>
          <w:szCs w:val="30"/>
        </w:rPr>
      </w:pPr>
      <w:r>
        <w:rPr>
          <w:rFonts w:hint="eastAsia" w:ascii="宋体" w:hAnsi="宋体"/>
          <w:b/>
          <w:color w:val="auto"/>
          <w:sz w:val="30"/>
          <w:szCs w:val="30"/>
        </w:rPr>
        <w:br w:type="page"/>
      </w:r>
    </w:p>
    <w:bookmarkEnd w:id="73"/>
    <w:bookmarkEnd w:id="74"/>
    <w:p w14:paraId="5B2F503E">
      <w:pPr>
        <w:spacing w:line="440" w:lineRule="exact"/>
        <w:jc w:val="center"/>
        <w:outlineLvl w:val="0"/>
        <w:rPr>
          <w:rFonts w:ascii="宋体"/>
          <w:b/>
          <w:color w:val="auto"/>
          <w:sz w:val="32"/>
          <w:szCs w:val="32"/>
        </w:rPr>
      </w:pPr>
      <w:bookmarkStart w:id="81" w:name="_Toc449028957"/>
      <w:bookmarkStart w:id="82" w:name="_Toc58430333"/>
      <w:r>
        <w:rPr>
          <w:rFonts w:hint="eastAsia" w:ascii="宋体"/>
          <w:b/>
          <w:color w:val="auto"/>
          <w:sz w:val="32"/>
          <w:szCs w:val="32"/>
        </w:rPr>
        <w:t>招标人、招标代理机构对本招标文件的确认</w:t>
      </w:r>
      <w:bookmarkEnd w:id="81"/>
      <w:bookmarkEnd w:id="82"/>
    </w:p>
    <w:p w14:paraId="5027823C">
      <w:pPr>
        <w:spacing w:line="440" w:lineRule="exact"/>
        <w:rPr>
          <w:rFonts w:ascii="宋体"/>
          <w:color w:val="auto"/>
          <w:sz w:val="24"/>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tcPr>
          <w:p w14:paraId="20497CDC">
            <w:pPr>
              <w:spacing w:line="440" w:lineRule="exact"/>
              <w:ind w:firstLine="560" w:firstLineChars="200"/>
              <w:rPr>
                <w:rFonts w:ascii="宋体" w:cs="宋体"/>
                <w:color w:val="auto"/>
                <w:sz w:val="28"/>
                <w:szCs w:val="28"/>
              </w:rPr>
            </w:pPr>
          </w:p>
          <w:p w14:paraId="1A304B5C">
            <w:pPr>
              <w:spacing w:line="360" w:lineRule="auto"/>
              <w:ind w:firstLine="560" w:firstLineChars="200"/>
              <w:rPr>
                <w:rFonts w:ascii="宋体" w:hAnsi="宋体" w:cs="宋体"/>
                <w:color w:val="auto"/>
                <w:sz w:val="28"/>
                <w:szCs w:val="28"/>
              </w:rPr>
            </w:pPr>
            <w:r>
              <w:rPr>
                <w:rFonts w:hint="eastAsia" w:ascii="宋体" w:cs="宋体"/>
                <w:color w:val="auto"/>
                <w:sz w:val="28"/>
                <w:szCs w:val="28"/>
              </w:rPr>
              <w:t>我单位对</w:t>
            </w:r>
            <w:r>
              <w:rPr>
                <w:rFonts w:hint="eastAsia" w:ascii="宋体" w:cs="宋体"/>
                <w:color w:val="auto"/>
                <w:sz w:val="28"/>
                <w:szCs w:val="28"/>
                <w:u w:val="single"/>
                <w:lang w:eastAsia="zh-CN"/>
              </w:rPr>
              <w:t>滁州市兴滁实业有限公司磅房工作外包服务采购项目</w:t>
            </w:r>
            <w:r>
              <w:rPr>
                <w:rFonts w:hint="eastAsia" w:ascii="宋体" w:cs="宋体"/>
                <w:color w:val="auto"/>
                <w:sz w:val="28"/>
                <w:szCs w:val="28"/>
              </w:rPr>
              <w:t>的招标文件进行确认。</w:t>
            </w:r>
          </w:p>
          <w:p w14:paraId="0C4687CA">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招标单位：</w:t>
            </w:r>
            <w:r>
              <w:rPr>
                <w:rFonts w:hint="eastAsia" w:ascii="宋体" w:hAnsi="宋体" w:cs="宋体"/>
                <w:color w:val="auto"/>
                <w:sz w:val="28"/>
                <w:szCs w:val="28"/>
                <w:lang w:eastAsia="zh-CN"/>
              </w:rPr>
              <w:t>滁州市兴滁实业有限公司</w:t>
            </w:r>
          </w:p>
          <w:p w14:paraId="3D57C6E7">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委托代理人：</w:t>
            </w:r>
            <w:r>
              <w:rPr>
                <w:rFonts w:hint="eastAsia" w:ascii="宋体" w:hAnsi="宋体" w:cs="宋体"/>
                <w:color w:val="auto"/>
                <w:sz w:val="28"/>
                <w:szCs w:val="28"/>
                <w:lang w:eastAsia="zh-CN"/>
              </w:rPr>
              <w:t>董旭</w:t>
            </w:r>
          </w:p>
          <w:p w14:paraId="2B5CDFF0">
            <w:pPr>
              <w:spacing w:line="360" w:lineRule="auto"/>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联系电话：</w:t>
            </w:r>
            <w:r>
              <w:rPr>
                <w:rFonts w:hint="eastAsia" w:ascii="宋体" w:hAnsi="宋体" w:cs="宋体"/>
                <w:color w:val="auto"/>
                <w:sz w:val="28"/>
                <w:szCs w:val="28"/>
                <w:lang w:eastAsia="zh-CN"/>
              </w:rPr>
              <w:t>18605500124</w:t>
            </w:r>
          </w:p>
          <w:p w14:paraId="1D843A94">
            <w:pPr>
              <w:spacing w:line="540" w:lineRule="exact"/>
              <w:ind w:firstLine="7140" w:firstLineChars="2550"/>
              <w:rPr>
                <w:rFonts w:ascii="宋体" w:cs="宋体"/>
                <w:color w:val="auto"/>
                <w:sz w:val="28"/>
                <w:szCs w:val="28"/>
              </w:rPr>
            </w:pPr>
          </w:p>
          <w:p w14:paraId="20049E5F">
            <w:pPr>
              <w:spacing w:line="540" w:lineRule="exact"/>
              <w:jc w:val="right"/>
              <w:rPr>
                <w:rFonts w:ascii="宋体" w:cs="宋体"/>
                <w:color w:val="auto"/>
                <w:sz w:val="28"/>
                <w:szCs w:val="28"/>
              </w:rPr>
            </w:pPr>
            <w:r>
              <w:rPr>
                <w:rFonts w:hint="eastAsia" w:ascii="宋体" w:cs="宋体"/>
                <w:color w:val="auto"/>
                <w:sz w:val="28"/>
                <w:szCs w:val="28"/>
              </w:rPr>
              <w:t>（盖单位章）</w:t>
            </w:r>
          </w:p>
          <w:p w14:paraId="684171B5">
            <w:pPr>
              <w:spacing w:line="540" w:lineRule="exact"/>
              <w:jc w:val="right"/>
              <w:rPr>
                <w:rFonts w:ascii="宋体" w:cs="宋体"/>
                <w:color w:val="auto"/>
                <w:sz w:val="28"/>
                <w:szCs w:val="28"/>
              </w:rPr>
            </w:pPr>
            <w:r>
              <w:rPr>
                <w:rFonts w:hint="eastAsia" w:ascii="宋体" w:cs="宋体"/>
                <w:color w:val="auto"/>
                <w:sz w:val="28"/>
                <w:szCs w:val="28"/>
              </w:rPr>
              <w:t>202</w:t>
            </w:r>
            <w:r>
              <w:rPr>
                <w:rFonts w:hint="eastAsia" w:ascii="宋体" w:cs="宋体"/>
                <w:color w:val="auto"/>
                <w:sz w:val="28"/>
                <w:szCs w:val="28"/>
                <w:lang w:val="en-US" w:eastAsia="zh-CN"/>
              </w:rPr>
              <w:t>6</w:t>
            </w:r>
            <w:r>
              <w:rPr>
                <w:rFonts w:hint="eastAsia" w:ascii="宋体" w:cs="宋体"/>
                <w:color w:val="auto"/>
                <w:sz w:val="28"/>
                <w:szCs w:val="28"/>
              </w:rPr>
              <w:t>年</w:t>
            </w:r>
            <w:r>
              <w:rPr>
                <w:rFonts w:hint="eastAsia" w:ascii="宋体" w:cs="宋体"/>
                <w:color w:val="auto"/>
                <w:sz w:val="28"/>
                <w:szCs w:val="28"/>
                <w:lang w:val="en-US" w:eastAsia="zh-CN"/>
              </w:rPr>
              <w:t>5</w:t>
            </w:r>
            <w:r>
              <w:rPr>
                <w:rFonts w:hint="eastAsia" w:ascii="宋体" w:cs="宋体"/>
                <w:color w:val="auto"/>
                <w:sz w:val="28"/>
                <w:szCs w:val="28"/>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tcPr>
          <w:p w14:paraId="11C4FDF6">
            <w:pPr>
              <w:spacing w:line="440" w:lineRule="exact"/>
              <w:rPr>
                <w:rFonts w:ascii="宋体" w:cs="宋体"/>
                <w:color w:val="auto"/>
                <w:sz w:val="28"/>
                <w:szCs w:val="28"/>
              </w:rPr>
            </w:pPr>
          </w:p>
          <w:p w14:paraId="5FF0FB7A">
            <w:pPr>
              <w:spacing w:line="520" w:lineRule="exact"/>
              <w:ind w:firstLine="560" w:firstLineChars="200"/>
              <w:rPr>
                <w:rFonts w:ascii="宋体" w:cs="宋体"/>
                <w:color w:val="auto"/>
                <w:sz w:val="28"/>
                <w:szCs w:val="28"/>
              </w:rPr>
            </w:pPr>
            <w:r>
              <w:rPr>
                <w:rFonts w:hint="eastAsia" w:ascii="宋体" w:cs="宋体"/>
                <w:color w:val="auto"/>
                <w:sz w:val="28"/>
                <w:szCs w:val="28"/>
              </w:rPr>
              <w:t>招标代理机构：滁州市城投工程咨询管理有限公司</w:t>
            </w:r>
          </w:p>
          <w:p w14:paraId="01A35B99">
            <w:pPr>
              <w:spacing w:line="520" w:lineRule="exact"/>
              <w:ind w:firstLine="560" w:firstLineChars="200"/>
              <w:rPr>
                <w:rFonts w:ascii="宋体" w:cs="宋体"/>
                <w:color w:val="auto"/>
                <w:sz w:val="28"/>
                <w:szCs w:val="28"/>
              </w:rPr>
            </w:pPr>
            <w:r>
              <w:rPr>
                <w:rFonts w:hint="eastAsia" w:ascii="宋体" w:cs="宋体"/>
                <w:color w:val="auto"/>
                <w:sz w:val="28"/>
                <w:szCs w:val="28"/>
              </w:rPr>
              <w:t>经办人：杨韦</w:t>
            </w:r>
          </w:p>
          <w:p w14:paraId="22684045">
            <w:pPr>
              <w:spacing w:line="520" w:lineRule="exact"/>
              <w:ind w:firstLine="560" w:firstLineChars="200"/>
              <w:rPr>
                <w:rFonts w:ascii="宋体" w:cs="宋体"/>
                <w:color w:val="auto"/>
                <w:sz w:val="28"/>
                <w:szCs w:val="28"/>
              </w:rPr>
            </w:pPr>
            <w:r>
              <w:rPr>
                <w:rFonts w:hint="eastAsia" w:ascii="宋体" w:cs="宋体"/>
                <w:color w:val="auto"/>
                <w:sz w:val="28"/>
                <w:szCs w:val="28"/>
              </w:rPr>
              <w:t>电  话：0550-3519590、18005501210</w:t>
            </w:r>
          </w:p>
          <w:p w14:paraId="686E5825">
            <w:pPr>
              <w:spacing w:line="520" w:lineRule="exact"/>
              <w:ind w:firstLine="6300" w:firstLineChars="2250"/>
              <w:rPr>
                <w:rFonts w:ascii="宋体" w:cs="宋体"/>
                <w:color w:val="auto"/>
                <w:sz w:val="28"/>
                <w:szCs w:val="28"/>
              </w:rPr>
            </w:pPr>
          </w:p>
          <w:p w14:paraId="69784CCD">
            <w:pPr>
              <w:pStyle w:val="2"/>
              <w:rPr>
                <w:color w:val="auto"/>
              </w:rPr>
            </w:pPr>
          </w:p>
          <w:p w14:paraId="1B93EB1E">
            <w:pPr>
              <w:spacing w:line="520" w:lineRule="exact"/>
              <w:ind w:firstLine="6580" w:firstLineChars="2350"/>
              <w:rPr>
                <w:rFonts w:ascii="宋体" w:cs="宋体"/>
                <w:color w:val="auto"/>
                <w:sz w:val="28"/>
                <w:szCs w:val="28"/>
              </w:rPr>
            </w:pPr>
          </w:p>
          <w:p w14:paraId="588D1772">
            <w:pPr>
              <w:spacing w:line="520" w:lineRule="exact"/>
              <w:jc w:val="right"/>
              <w:rPr>
                <w:rFonts w:ascii="宋体" w:cs="宋体"/>
                <w:color w:val="auto"/>
                <w:sz w:val="28"/>
                <w:szCs w:val="28"/>
              </w:rPr>
            </w:pPr>
            <w:r>
              <w:rPr>
                <w:rFonts w:hint="eastAsia" w:ascii="宋体" w:cs="宋体"/>
                <w:color w:val="auto"/>
                <w:sz w:val="28"/>
                <w:szCs w:val="28"/>
              </w:rPr>
              <w:t>（盖单位章）</w:t>
            </w:r>
          </w:p>
          <w:p w14:paraId="2F1F8B8A">
            <w:pPr>
              <w:spacing w:line="540" w:lineRule="exact"/>
              <w:jc w:val="right"/>
              <w:rPr>
                <w:rFonts w:ascii="宋体" w:cs="宋体"/>
                <w:color w:val="auto"/>
                <w:sz w:val="28"/>
                <w:szCs w:val="28"/>
              </w:rPr>
            </w:pPr>
            <w:r>
              <w:rPr>
                <w:rFonts w:hint="eastAsia" w:ascii="宋体" w:cs="宋体"/>
                <w:color w:val="auto"/>
                <w:sz w:val="28"/>
                <w:szCs w:val="28"/>
              </w:rPr>
              <w:t>202</w:t>
            </w:r>
            <w:r>
              <w:rPr>
                <w:rFonts w:hint="eastAsia" w:ascii="宋体" w:cs="宋体"/>
                <w:color w:val="auto"/>
                <w:sz w:val="28"/>
                <w:szCs w:val="28"/>
                <w:lang w:val="en-US" w:eastAsia="zh-CN"/>
              </w:rPr>
              <w:t>6</w:t>
            </w:r>
            <w:r>
              <w:rPr>
                <w:rFonts w:hint="eastAsia" w:ascii="宋体" w:cs="宋体"/>
                <w:color w:val="auto"/>
                <w:sz w:val="28"/>
                <w:szCs w:val="28"/>
              </w:rPr>
              <w:t>年</w:t>
            </w:r>
            <w:r>
              <w:rPr>
                <w:rFonts w:hint="eastAsia" w:ascii="宋体" w:cs="宋体"/>
                <w:color w:val="auto"/>
                <w:sz w:val="28"/>
                <w:szCs w:val="28"/>
                <w:lang w:val="en-US" w:eastAsia="zh-CN"/>
              </w:rPr>
              <w:t>5</w:t>
            </w:r>
            <w:r>
              <w:rPr>
                <w:rFonts w:hint="eastAsia" w:ascii="宋体" w:cs="宋体"/>
                <w:color w:val="auto"/>
                <w:sz w:val="28"/>
                <w:szCs w:val="28"/>
              </w:rPr>
              <w:t>月</w:t>
            </w:r>
          </w:p>
        </w:tc>
      </w:tr>
      <w:bookmarkEnd w:id="0"/>
    </w:tbl>
    <w:p w14:paraId="7CFD80ED">
      <w:pPr>
        <w:rPr>
          <w:color w:val="auto"/>
        </w:rPr>
      </w:pPr>
      <w:r>
        <w:rPr>
          <w:color w:val="auto"/>
        </w:rPr>
        <w:br w:type="page"/>
      </w:r>
    </w:p>
    <w:p w14:paraId="1E9D7450">
      <w:pPr>
        <w:outlineLvl w:val="0"/>
        <w:rPr>
          <w:rFonts w:ascii="宋体" w:hAnsi="宋体" w:cs="宋体"/>
          <w:color w:val="auto"/>
          <w:sz w:val="28"/>
          <w:szCs w:val="28"/>
        </w:rPr>
      </w:pPr>
      <w:bookmarkStart w:id="83" w:name="_Toc11016"/>
      <w:r>
        <w:rPr>
          <w:rFonts w:hint="eastAsia" w:ascii="宋体" w:hAnsi="宋体" w:cs="宋体"/>
          <w:b/>
          <w:color w:val="auto"/>
          <w:sz w:val="28"/>
          <w:szCs w:val="28"/>
          <w:lang w:bidi="ar"/>
        </w:rPr>
        <w:t>附件1</w:t>
      </w:r>
      <w:bookmarkEnd w:id="83"/>
    </w:p>
    <w:p w14:paraId="32791262">
      <w:pPr>
        <w:spacing w:line="440" w:lineRule="exact"/>
        <w:jc w:val="center"/>
        <w:rPr>
          <w:rFonts w:ascii="宋体" w:hAnsi="宋体" w:cs="宋体"/>
          <w:b/>
          <w:color w:val="auto"/>
          <w:sz w:val="30"/>
          <w:szCs w:val="30"/>
        </w:rPr>
      </w:pPr>
      <w:r>
        <w:rPr>
          <w:rFonts w:hint="eastAsia" w:ascii="宋体" w:hAnsi="宋体" w:cs="宋体"/>
          <w:b/>
          <w:color w:val="auto"/>
          <w:sz w:val="30"/>
          <w:szCs w:val="30"/>
          <w:lang w:bidi="ar"/>
        </w:rPr>
        <w:t>关于联合惩戒失信行为 加强信用查询管理的通知</w:t>
      </w:r>
    </w:p>
    <w:p w14:paraId="4A684BBF">
      <w:pPr>
        <w:spacing w:line="480" w:lineRule="exact"/>
        <w:ind w:firstLine="482" w:firstLineChars="200"/>
        <w:rPr>
          <w:rFonts w:ascii="宋体" w:hAnsi="宋体" w:cs="宋体"/>
          <w:b/>
          <w:color w:val="auto"/>
          <w:sz w:val="24"/>
        </w:rPr>
      </w:pPr>
      <w:r>
        <w:rPr>
          <w:rFonts w:hint="eastAsia" w:ascii="宋体" w:hAnsi="宋体" w:cs="宋体"/>
          <w:b/>
          <w:color w:val="auto"/>
          <w:sz w:val="24"/>
          <w:lang w:bidi="ar"/>
        </w:rPr>
        <w:t>一、失信行为联合惩戒的范围和查询渠道</w:t>
      </w:r>
    </w:p>
    <w:p w14:paraId="38FF9447">
      <w:pPr>
        <w:widowControl/>
        <w:autoSpaceDE w:val="0"/>
        <w:spacing w:line="480" w:lineRule="exact"/>
        <w:ind w:firstLine="480" w:firstLineChars="200"/>
        <w:textAlignment w:val="baseline"/>
        <w:rPr>
          <w:rFonts w:ascii="宋体" w:hAnsi="宋体" w:cs="宋体"/>
          <w:bCs/>
          <w:color w:val="auto"/>
          <w:sz w:val="24"/>
        </w:rPr>
      </w:pPr>
      <w:r>
        <w:rPr>
          <w:rFonts w:hint="eastAsia" w:ascii="宋体" w:hAnsi="宋体" w:cs="宋体"/>
          <w:bCs/>
          <w:color w:val="auto"/>
          <w:kern w:val="0"/>
          <w:sz w:val="24"/>
          <w:lang w:bidi="ar"/>
        </w:rPr>
        <w:t>在我市公共资源交易活动中对存在下列失信行为的投标人、法定代表人及其项目经理（建造师）实施联合惩戒，禁止参与我市公共资源交易活动。</w:t>
      </w:r>
    </w:p>
    <w:p w14:paraId="3C08667C">
      <w:pPr>
        <w:widowControl/>
        <w:autoSpaceDE w:val="0"/>
        <w:spacing w:line="480" w:lineRule="exact"/>
        <w:ind w:firstLine="482" w:firstLineChars="200"/>
        <w:textAlignment w:val="baseline"/>
        <w:rPr>
          <w:rFonts w:ascii="宋体" w:hAnsi="宋体" w:cs="宋体"/>
          <w:b/>
          <w:color w:val="auto"/>
          <w:sz w:val="24"/>
        </w:rPr>
      </w:pPr>
      <w:r>
        <w:rPr>
          <w:rFonts w:hint="eastAsia" w:ascii="宋体" w:hAnsi="宋体" w:cs="宋体"/>
          <w:b/>
          <w:color w:val="auto"/>
          <w:kern w:val="0"/>
          <w:sz w:val="24"/>
          <w:lang w:bidi="ar"/>
        </w:rPr>
        <w:t>（一）工程建设项目</w:t>
      </w:r>
    </w:p>
    <w:p w14:paraId="49E8F846">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1、“信用中国”网站（www.creditchina.gov.cn）查询投标人、法定代表人及其项目经理(建造师)以下失信行为：</w:t>
      </w:r>
    </w:p>
    <w:p w14:paraId="7373897C">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①被列入“失信被执行人”的;</w:t>
      </w:r>
    </w:p>
    <w:p w14:paraId="3B537D9D">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②被列入“重大税收违法失信主体”的；</w:t>
      </w:r>
    </w:p>
    <w:p w14:paraId="716E2D22">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③被列入“拖欠农民工工资失信联合惩戒对象名单”的；</w:t>
      </w:r>
    </w:p>
    <w:p w14:paraId="2D2F940C">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④被列入 “严重失信主体名单”的；</w:t>
      </w:r>
    </w:p>
    <w:p w14:paraId="43C8ED9E">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⑤在“信用中国”网站上披露的仍在公示期的严重失信行为(具体行为类别及判定依据见附件2)的。</w:t>
      </w:r>
    </w:p>
    <w:p w14:paraId="37266651">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2、国家企业信用信息公示系统网站（www.gsxt.gov.cn）查询投标人以下失信行为：</w:t>
      </w:r>
    </w:p>
    <w:p w14:paraId="00502BC7">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①被列入“经营异常名录”或者“严重违法失信名单”的。</w:t>
      </w:r>
    </w:p>
    <w:p w14:paraId="6FEF7739">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3、由投标人、法定代表人及其项目经理(建造师)进行承诺，不进行现场网上信用查询的失信行为：</w:t>
      </w:r>
    </w:p>
    <w:p w14:paraId="5A5CCE1F">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①前三年有行贿犯罪行为的单位和个人；</w:t>
      </w:r>
    </w:p>
    <w:p w14:paraId="7BDE7E49">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②被滁州市县两级公管部门取消在一定期限内的投标资格且在取消期限内的；</w:t>
      </w:r>
    </w:p>
    <w:p w14:paraId="634B6A0A">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③被滁州市县两级各行业主管部门取消在一定期限内的投标资格且在取消期限内的；</w:t>
      </w:r>
    </w:p>
    <w:p w14:paraId="7674E33F">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④因拖欠农民工工资被县级及以上有关行政主管部门限制投标资格且在限制期限内的；</w:t>
      </w:r>
    </w:p>
    <w:p w14:paraId="133F64B7">
      <w:pPr>
        <w:widowControl/>
        <w:autoSpaceDE w:val="0"/>
        <w:spacing w:line="480" w:lineRule="exact"/>
        <w:ind w:firstLine="480" w:firstLineChars="200"/>
        <w:textAlignment w:val="baseline"/>
        <w:rPr>
          <w:rFonts w:ascii="宋体" w:hAnsi="宋体" w:cs="宋体"/>
          <w:bCs/>
          <w:color w:val="auto"/>
          <w:sz w:val="24"/>
        </w:rPr>
      </w:pPr>
      <w:r>
        <w:rPr>
          <w:rFonts w:hint="eastAsia" w:ascii="宋体" w:hAnsi="宋体" w:cs="宋体"/>
          <w:bCs/>
          <w:color w:val="auto"/>
          <w:kern w:val="0"/>
          <w:sz w:val="24"/>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4700691D">
      <w:pPr>
        <w:widowControl/>
        <w:autoSpaceDE w:val="0"/>
        <w:spacing w:line="480" w:lineRule="exact"/>
        <w:ind w:firstLine="482" w:firstLineChars="200"/>
        <w:textAlignment w:val="baseline"/>
        <w:rPr>
          <w:rFonts w:ascii="宋体" w:hAnsi="宋体" w:cs="宋体"/>
          <w:b/>
          <w:color w:val="auto"/>
          <w:sz w:val="24"/>
        </w:rPr>
      </w:pPr>
      <w:r>
        <w:rPr>
          <w:rFonts w:hint="eastAsia" w:ascii="宋体" w:hAnsi="宋体" w:cs="宋体"/>
          <w:b/>
          <w:color w:val="auto"/>
          <w:kern w:val="0"/>
          <w:sz w:val="24"/>
          <w:lang w:bidi="ar"/>
        </w:rPr>
        <w:t>（二）政府采购项目</w:t>
      </w:r>
    </w:p>
    <w:p w14:paraId="2E3350D9">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1、“信用中国”网站（www.creditchina.gov.cn）查询投标人、法定代表人及其项目负责人以下失信行为：</w:t>
      </w:r>
    </w:p>
    <w:p w14:paraId="75A26ADD">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①被列入“失信被执行人”的;</w:t>
      </w:r>
    </w:p>
    <w:p w14:paraId="49904CD7">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②被列入“重大税收违法失信主体”的；</w:t>
      </w:r>
    </w:p>
    <w:p w14:paraId="3B2A3F28">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③被列入 “严重失信主体名单”的；</w:t>
      </w:r>
    </w:p>
    <w:p w14:paraId="276D1FE1">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④在“信用中国”网站上披露的仍在公示期的严重失信行为(具体行为类别及判定依据见附件2)的。</w:t>
      </w:r>
    </w:p>
    <w:p w14:paraId="5FD58CC3">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2、国家企业信用信息公示系统网站（</w:t>
      </w:r>
      <w:r>
        <w:rPr>
          <w:color w:val="auto"/>
        </w:rPr>
        <w:fldChar w:fldCharType="begin"/>
      </w:r>
      <w:r>
        <w:rPr>
          <w:color w:val="auto"/>
        </w:rPr>
        <w:instrText xml:space="preserve"> HYPERLINK "http://www.gsxt.gov.cn）查询" </w:instrText>
      </w:r>
      <w:r>
        <w:rPr>
          <w:color w:val="auto"/>
        </w:rPr>
        <w:fldChar w:fldCharType="separate"/>
      </w:r>
      <w:r>
        <w:rPr>
          <w:rFonts w:hint="eastAsia" w:ascii="宋体" w:hAnsi="宋体" w:cs="宋体"/>
          <w:bCs/>
          <w:color w:val="auto"/>
          <w:kern w:val="0"/>
          <w:sz w:val="24"/>
          <w:lang w:bidi="ar"/>
        </w:rPr>
        <w:t>www.gsxt.gov.cn）</w:t>
      </w:r>
      <w:r>
        <w:rPr>
          <w:rFonts w:hint="eastAsia" w:ascii="宋体" w:hAnsi="宋体" w:cs="宋体"/>
          <w:bCs/>
          <w:color w:val="auto"/>
          <w:kern w:val="0"/>
          <w:sz w:val="24"/>
          <w:lang w:bidi="ar"/>
        </w:rPr>
        <w:fldChar w:fldCharType="end"/>
      </w:r>
      <w:r>
        <w:rPr>
          <w:rFonts w:hint="eastAsia" w:ascii="宋体" w:hAnsi="宋体" w:cs="宋体"/>
          <w:bCs/>
          <w:color w:val="auto"/>
          <w:kern w:val="0"/>
          <w:sz w:val="24"/>
          <w:lang w:bidi="ar"/>
        </w:rPr>
        <w:t>查询投标人以下失信行为：</w:t>
      </w:r>
    </w:p>
    <w:p w14:paraId="757157BE">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①</w:t>
      </w:r>
      <w:bookmarkStart w:id="84" w:name="OLE_LINK101"/>
      <w:bookmarkStart w:id="85" w:name="OLE_LINK100"/>
      <w:bookmarkStart w:id="86" w:name="OLE_LINK102"/>
      <w:r>
        <w:rPr>
          <w:rFonts w:hint="eastAsia" w:ascii="宋体" w:hAnsi="宋体" w:cs="宋体"/>
          <w:bCs/>
          <w:color w:val="auto"/>
          <w:kern w:val="0"/>
          <w:sz w:val="24"/>
          <w:lang w:bidi="ar"/>
        </w:rPr>
        <w:t>被列入“经营异常名录”或者“严重违法失信名单”的</w:t>
      </w:r>
      <w:bookmarkEnd w:id="84"/>
      <w:bookmarkEnd w:id="85"/>
      <w:bookmarkEnd w:id="86"/>
      <w:r>
        <w:rPr>
          <w:rFonts w:hint="eastAsia" w:ascii="宋体" w:hAnsi="宋体" w:cs="宋体"/>
          <w:bCs/>
          <w:color w:val="auto"/>
          <w:kern w:val="0"/>
          <w:sz w:val="24"/>
          <w:lang w:bidi="ar"/>
        </w:rPr>
        <w:t>。</w:t>
      </w:r>
    </w:p>
    <w:p w14:paraId="78816648">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3、中国政府采购网站（</w:t>
      </w:r>
      <w:bookmarkStart w:id="87" w:name="OLE_LINK96"/>
      <w:bookmarkStart w:id="88" w:name="OLE_LINK95"/>
      <w:r>
        <w:rPr>
          <w:rFonts w:hint="eastAsia" w:ascii="宋体" w:hAnsi="宋体" w:cs="宋体"/>
          <w:bCs/>
          <w:color w:val="auto"/>
          <w:kern w:val="0"/>
          <w:sz w:val="24"/>
          <w:lang w:bidi="ar"/>
        </w:rPr>
        <w:fldChar w:fldCharType="begin"/>
      </w:r>
      <w:r>
        <w:rPr>
          <w:rFonts w:hint="eastAsia" w:ascii="宋体" w:hAnsi="宋体" w:cs="宋体"/>
          <w:bCs/>
          <w:color w:val="auto"/>
          <w:kern w:val="0"/>
          <w:sz w:val="24"/>
          <w:lang w:bidi="ar"/>
        </w:rPr>
        <w:instrText xml:space="preserve"> HYPERLINK "http://www.ccgp.gov.cn" </w:instrText>
      </w:r>
      <w:r>
        <w:rPr>
          <w:rFonts w:hint="eastAsia" w:ascii="宋体" w:hAnsi="宋体" w:cs="宋体"/>
          <w:bCs/>
          <w:color w:val="auto"/>
          <w:kern w:val="0"/>
          <w:sz w:val="24"/>
          <w:lang w:bidi="ar"/>
        </w:rPr>
        <w:fldChar w:fldCharType="separate"/>
      </w:r>
      <w:r>
        <w:rPr>
          <w:rFonts w:hint="eastAsia" w:ascii="宋体" w:hAnsi="宋体" w:cs="宋体"/>
          <w:bCs/>
          <w:color w:val="auto"/>
          <w:kern w:val="0"/>
          <w:sz w:val="24"/>
          <w:lang w:bidi="ar"/>
        </w:rPr>
        <w:t>www.ccgp.gov.cn</w:t>
      </w:r>
      <w:r>
        <w:rPr>
          <w:rFonts w:hint="eastAsia" w:ascii="宋体" w:hAnsi="宋体" w:cs="宋体"/>
          <w:bCs/>
          <w:color w:val="auto"/>
          <w:kern w:val="0"/>
          <w:sz w:val="24"/>
          <w:lang w:bidi="ar"/>
        </w:rPr>
        <w:fldChar w:fldCharType="end"/>
      </w:r>
      <w:bookmarkEnd w:id="87"/>
      <w:bookmarkEnd w:id="88"/>
      <w:r>
        <w:rPr>
          <w:rFonts w:hint="eastAsia" w:ascii="宋体" w:hAnsi="宋体" w:cs="宋体"/>
          <w:bCs/>
          <w:color w:val="auto"/>
          <w:kern w:val="0"/>
          <w:sz w:val="24"/>
          <w:lang w:bidi="ar"/>
        </w:rPr>
        <w:t>）查询以下失信行为：</w:t>
      </w:r>
    </w:p>
    <w:p w14:paraId="7233785F">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①</w:t>
      </w:r>
      <w:bookmarkStart w:id="89" w:name="OLE_LINK105"/>
      <w:bookmarkStart w:id="90" w:name="OLE_LINK106"/>
      <w:bookmarkStart w:id="91" w:name="OLE_LINK104"/>
      <w:r>
        <w:rPr>
          <w:rFonts w:hint="eastAsia" w:ascii="宋体" w:hAnsi="宋体" w:cs="宋体"/>
          <w:bCs/>
          <w:color w:val="auto"/>
          <w:kern w:val="0"/>
          <w:sz w:val="24"/>
          <w:lang w:bidi="ar"/>
        </w:rPr>
        <w:t>被列入“政府采购严重违法失信行为信息记录”的</w:t>
      </w:r>
      <w:bookmarkEnd w:id="89"/>
      <w:bookmarkEnd w:id="90"/>
      <w:bookmarkEnd w:id="91"/>
      <w:r>
        <w:rPr>
          <w:rFonts w:hint="eastAsia" w:ascii="宋体" w:hAnsi="宋体" w:cs="宋体"/>
          <w:bCs/>
          <w:color w:val="auto"/>
          <w:kern w:val="0"/>
          <w:sz w:val="24"/>
          <w:lang w:bidi="ar"/>
        </w:rPr>
        <w:t>。</w:t>
      </w:r>
    </w:p>
    <w:p w14:paraId="7C178370">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4、由竞争主体进行承诺，不进行现场网上信用查询的失信行为：</w:t>
      </w:r>
    </w:p>
    <w:p w14:paraId="694AEA5D">
      <w:pPr>
        <w:widowControl/>
        <w:autoSpaceDE w:val="0"/>
        <w:spacing w:line="480" w:lineRule="exact"/>
        <w:ind w:firstLine="480" w:firstLineChars="200"/>
        <w:textAlignment w:val="baseline"/>
        <w:rPr>
          <w:rFonts w:ascii="宋体" w:hAnsi="宋体" w:cs="宋体"/>
          <w:bCs/>
          <w:color w:val="auto"/>
          <w:sz w:val="24"/>
        </w:rPr>
      </w:pPr>
      <w:r>
        <w:rPr>
          <w:rFonts w:hint="eastAsia" w:ascii="宋体" w:hAnsi="宋体" w:cs="宋体"/>
          <w:bCs/>
          <w:color w:val="auto"/>
          <w:kern w:val="0"/>
          <w:sz w:val="24"/>
          <w:lang w:bidi="ar"/>
        </w:rPr>
        <w:t>①前三年有行贿犯罪行为的单位和个人。</w:t>
      </w:r>
    </w:p>
    <w:p w14:paraId="7FCD0A1E">
      <w:pPr>
        <w:widowControl/>
        <w:autoSpaceDE w:val="0"/>
        <w:spacing w:line="480" w:lineRule="exact"/>
        <w:ind w:firstLine="482" w:firstLineChars="200"/>
        <w:textAlignment w:val="baseline"/>
        <w:rPr>
          <w:rFonts w:ascii="宋体" w:hAnsi="宋体" w:cs="宋体"/>
          <w:b/>
          <w:color w:val="auto"/>
          <w:sz w:val="24"/>
        </w:rPr>
      </w:pPr>
      <w:r>
        <w:rPr>
          <w:rFonts w:hint="eastAsia" w:ascii="宋体" w:hAnsi="宋体" w:cs="宋体"/>
          <w:b/>
          <w:color w:val="auto"/>
          <w:kern w:val="0"/>
          <w:sz w:val="24"/>
          <w:lang w:bidi="ar"/>
        </w:rPr>
        <w:t>二、在开评标活动中的查询程序</w:t>
      </w:r>
    </w:p>
    <w:p w14:paraId="67811E56">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F6EE36D">
      <w:pPr>
        <w:widowControl/>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0118BF7">
      <w:pPr>
        <w:widowControl/>
        <w:autoSpaceDE w:val="0"/>
        <w:spacing w:line="480" w:lineRule="exact"/>
        <w:ind w:firstLine="480" w:firstLineChars="200"/>
        <w:textAlignment w:val="baseline"/>
        <w:rPr>
          <w:rFonts w:ascii="宋体" w:hAnsi="宋体" w:cs="宋体"/>
          <w:bCs/>
          <w:color w:val="auto"/>
          <w:sz w:val="24"/>
        </w:rPr>
      </w:pPr>
      <w:r>
        <w:rPr>
          <w:rFonts w:hint="eastAsia" w:ascii="宋体" w:hAnsi="宋体" w:cs="宋体"/>
          <w:bCs/>
          <w:color w:val="auto"/>
          <w:kern w:val="0"/>
          <w:sz w:val="24"/>
          <w:lang w:bidi="ar"/>
        </w:rPr>
        <w:t>3、项目单位及其委托的代理机构应当做好信用查询结果截图和记录留存。</w:t>
      </w:r>
    </w:p>
    <w:p w14:paraId="14ECC42E">
      <w:pPr>
        <w:widowControl/>
        <w:autoSpaceDE w:val="0"/>
        <w:spacing w:line="480" w:lineRule="exact"/>
        <w:ind w:firstLine="482" w:firstLineChars="200"/>
        <w:textAlignment w:val="baseline"/>
        <w:rPr>
          <w:rFonts w:ascii="宋体" w:hAnsi="宋体" w:cs="宋体"/>
          <w:b/>
          <w:color w:val="auto"/>
          <w:sz w:val="24"/>
        </w:rPr>
      </w:pPr>
      <w:r>
        <w:rPr>
          <w:rFonts w:hint="eastAsia" w:ascii="宋体" w:hAnsi="宋体" w:cs="宋体"/>
          <w:b/>
          <w:color w:val="auto"/>
          <w:kern w:val="0"/>
          <w:sz w:val="24"/>
          <w:lang w:bidi="ar"/>
        </w:rPr>
        <w:t>三、相关要求</w:t>
      </w:r>
    </w:p>
    <w:p w14:paraId="18FF9FFB">
      <w:pPr>
        <w:widowControl/>
        <w:wordWrap w:val="0"/>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4578472">
      <w:pPr>
        <w:widowControl/>
        <w:wordWrap w:val="0"/>
        <w:autoSpaceDE w:val="0"/>
        <w:spacing w:line="480" w:lineRule="exact"/>
        <w:ind w:firstLine="480" w:firstLineChars="200"/>
        <w:textAlignment w:val="baseline"/>
        <w:rPr>
          <w:rFonts w:ascii="宋体" w:hAnsi="宋体" w:cs="宋体"/>
          <w:bCs/>
          <w:color w:val="auto"/>
          <w:kern w:val="0"/>
          <w:sz w:val="24"/>
          <w:lang w:bidi="ar"/>
        </w:rPr>
      </w:pPr>
      <w:r>
        <w:rPr>
          <w:rFonts w:hint="eastAsia" w:ascii="宋体" w:hAnsi="宋体" w:cs="宋体"/>
          <w:bCs/>
          <w:color w:val="auto"/>
          <w:kern w:val="0"/>
          <w:sz w:val="24"/>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060CC64">
      <w:pPr>
        <w:widowControl/>
        <w:wordWrap w:val="0"/>
        <w:autoSpaceDE w:val="0"/>
        <w:spacing w:line="480" w:lineRule="exact"/>
        <w:ind w:firstLine="480" w:firstLineChars="200"/>
        <w:textAlignment w:val="baseline"/>
        <w:rPr>
          <w:rFonts w:ascii="宋体" w:hAnsi="宋体" w:cs="宋体"/>
          <w:bCs/>
          <w:color w:val="auto"/>
          <w:sz w:val="24"/>
        </w:rPr>
      </w:pPr>
      <w:r>
        <w:rPr>
          <w:rFonts w:hint="eastAsia" w:ascii="宋体" w:hAnsi="宋体" w:cs="宋体"/>
          <w:bCs/>
          <w:color w:val="auto"/>
          <w:kern w:val="0"/>
          <w:sz w:val="24"/>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188787F">
      <w:pPr>
        <w:widowControl/>
        <w:autoSpaceDE w:val="0"/>
        <w:spacing w:line="480" w:lineRule="exact"/>
        <w:ind w:firstLine="482" w:firstLineChars="200"/>
        <w:textAlignment w:val="baseline"/>
        <w:rPr>
          <w:rFonts w:ascii="宋体" w:hAnsi="宋体" w:cs="宋体"/>
          <w:b/>
          <w:color w:val="auto"/>
          <w:sz w:val="24"/>
        </w:rPr>
      </w:pPr>
      <w:r>
        <w:rPr>
          <w:rFonts w:hint="eastAsia" w:ascii="宋体" w:hAnsi="宋体" w:cs="宋体"/>
          <w:b/>
          <w:color w:val="auto"/>
          <w:kern w:val="0"/>
          <w:sz w:val="24"/>
          <w:lang w:bidi="ar"/>
        </w:rPr>
        <w:t>2、“信用中国”查询的严重失信行为判定依据为各行业主管部门下发的联合惩戒文件中规定的行为（按附件2执行）。</w:t>
      </w:r>
    </w:p>
    <w:p w14:paraId="484EAB91">
      <w:pPr>
        <w:widowControl/>
        <w:autoSpaceDE w:val="0"/>
        <w:spacing w:line="480" w:lineRule="exact"/>
        <w:ind w:firstLine="480" w:firstLineChars="200"/>
        <w:textAlignment w:val="baseline"/>
        <w:rPr>
          <w:rFonts w:ascii="宋体" w:hAnsi="宋体" w:cs="宋体"/>
          <w:bCs/>
          <w:color w:val="auto"/>
          <w:kern w:val="0"/>
          <w:sz w:val="24"/>
        </w:rPr>
      </w:pPr>
      <w:r>
        <w:rPr>
          <w:rFonts w:hint="eastAsia" w:ascii="宋体" w:hAnsi="宋体" w:cs="宋体"/>
          <w:bCs/>
          <w:color w:val="auto"/>
          <w:kern w:val="0"/>
          <w:sz w:val="24"/>
          <w:lang w:bidi="ar"/>
        </w:rPr>
        <w:t>3、资格预审的项目以递交资格预审申请文件截止时间查询为准；资格后审的项目以递交投标文件截止时间查询为准。</w:t>
      </w:r>
    </w:p>
    <w:p w14:paraId="20E42E2A">
      <w:pPr>
        <w:spacing w:line="440" w:lineRule="exact"/>
        <w:rPr>
          <w:rFonts w:ascii="宋体" w:hAnsi="宋体" w:cs="宋体"/>
          <w:b/>
          <w:color w:val="auto"/>
          <w:sz w:val="24"/>
        </w:rPr>
      </w:pPr>
      <w:r>
        <w:rPr>
          <w:rFonts w:hint="eastAsia" w:ascii="宋体" w:hAnsi="宋体" w:cs="宋体"/>
          <w:b/>
          <w:color w:val="auto"/>
          <w:sz w:val="24"/>
          <w:lang w:bidi="ar"/>
        </w:rPr>
        <w:t xml:space="preserve"> </w:t>
      </w:r>
    </w:p>
    <w:p w14:paraId="513CBA05">
      <w:pPr>
        <w:pStyle w:val="31"/>
        <w:spacing w:after="120" w:afterAutospacing="0" w:line="360" w:lineRule="auto"/>
        <w:ind w:left="420" w:leftChars="200" w:firstLine="420" w:firstLineChars="200"/>
        <w:jc w:val="both"/>
        <w:rPr>
          <w:color w:val="auto"/>
          <w:kern w:val="2"/>
          <w:sz w:val="21"/>
          <w:szCs w:val="21"/>
        </w:rPr>
      </w:pPr>
      <w:r>
        <w:rPr>
          <w:rFonts w:hint="eastAsia"/>
          <w:color w:val="auto"/>
          <w:kern w:val="2"/>
          <w:sz w:val="21"/>
          <w:szCs w:val="21"/>
          <w:lang w:bidi="ar"/>
        </w:rPr>
        <w:t xml:space="preserve"> </w:t>
      </w:r>
    </w:p>
    <w:p w14:paraId="796087C7">
      <w:pPr>
        <w:spacing w:line="440" w:lineRule="exact"/>
        <w:rPr>
          <w:rFonts w:ascii="宋体" w:hAnsi="宋体" w:cs="宋体"/>
          <w:b/>
          <w:color w:val="auto"/>
          <w:sz w:val="24"/>
        </w:rPr>
      </w:pPr>
      <w:r>
        <w:rPr>
          <w:rFonts w:hint="eastAsia" w:ascii="宋体" w:hAnsi="宋体" w:cs="宋体"/>
          <w:b/>
          <w:color w:val="auto"/>
          <w:sz w:val="24"/>
          <w:lang w:bidi="ar"/>
        </w:rPr>
        <w:br w:type="page"/>
      </w:r>
      <w:r>
        <w:rPr>
          <w:rFonts w:hint="eastAsia" w:ascii="宋体" w:hAnsi="宋体" w:cs="宋体"/>
          <w:b/>
          <w:color w:val="auto"/>
          <w:sz w:val="24"/>
          <w:lang w:bidi="ar"/>
        </w:rPr>
        <w:t>附件2</w:t>
      </w:r>
    </w:p>
    <w:p w14:paraId="3906ECB6">
      <w:pPr>
        <w:spacing w:line="440" w:lineRule="exact"/>
        <w:jc w:val="center"/>
        <w:rPr>
          <w:rFonts w:ascii="宋体" w:hAnsi="宋体" w:cs="宋体"/>
          <w:b/>
          <w:color w:val="auto"/>
          <w:sz w:val="24"/>
        </w:rPr>
      </w:pPr>
      <w:r>
        <w:rPr>
          <w:rFonts w:hint="eastAsia" w:ascii="宋体" w:hAnsi="宋体" w:cs="宋体"/>
          <w:b/>
          <w:color w:val="auto"/>
          <w:sz w:val="24"/>
          <w:lang w:bidi="ar"/>
        </w:rPr>
        <w:t>“信用中国”查询的严重失信行为类别及判定依据</w:t>
      </w:r>
    </w:p>
    <w:p w14:paraId="58697983">
      <w:pPr>
        <w:spacing w:line="440" w:lineRule="exact"/>
        <w:jc w:val="center"/>
        <w:rPr>
          <w:rFonts w:ascii="宋体" w:hAnsi="宋体" w:cs="宋体"/>
          <w:b/>
          <w:color w:val="auto"/>
          <w:sz w:val="24"/>
        </w:rPr>
      </w:pPr>
      <w:r>
        <w:rPr>
          <w:rFonts w:hint="eastAsia" w:ascii="宋体" w:hAnsi="宋体" w:cs="宋体"/>
          <w:b/>
          <w:color w:val="auto"/>
          <w:sz w:val="24"/>
          <w:lang w:bidi="ar"/>
        </w:rPr>
        <w:t xml:space="preserve"> </w:t>
      </w:r>
    </w:p>
    <w:p w14:paraId="2A13572A">
      <w:pPr>
        <w:widowControl/>
        <w:autoSpaceDE w:val="0"/>
        <w:spacing w:line="480" w:lineRule="exact"/>
        <w:ind w:firstLine="480" w:firstLineChars="200"/>
        <w:jc w:val="left"/>
        <w:textAlignment w:val="baseline"/>
        <w:rPr>
          <w:rFonts w:ascii="宋体" w:hAnsi="宋体" w:cs="宋体"/>
          <w:color w:val="auto"/>
          <w:sz w:val="24"/>
        </w:rPr>
      </w:pPr>
      <w:r>
        <w:rPr>
          <w:rFonts w:hint="eastAsia" w:ascii="宋体" w:hAnsi="宋体" w:cs="宋体"/>
          <w:color w:val="auto"/>
          <w:kern w:val="0"/>
          <w:sz w:val="24"/>
          <w:lang w:bidi="ar"/>
        </w:rPr>
        <w:t>“信用中国”查询的严重失信行为判定依据为各行业主管部门下发的联合惩戒文件中规定的行为。下面将部分类别的严重失信行为列举如下：</w:t>
      </w:r>
    </w:p>
    <w:p w14:paraId="4586CC48">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一、安全生产领域严重失信行为：</w:t>
      </w:r>
    </w:p>
    <w:p w14:paraId="2D5B9F01">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（一）下列发生生产安全事故的生产经营单位及其有关人员应当列入严重失信主体名单：</w:t>
      </w:r>
    </w:p>
    <w:p w14:paraId="1D9D01E3">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1、发生特别重大、重大生产安全事故的生产经营单位及其主要负责人，以及经调查认定对该事故发生负有责任，应当列入名单的其他单位和人员；</w:t>
      </w:r>
    </w:p>
    <w:p w14:paraId="662EAE06">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2、12个月内累计发生2起以上较大生产安全事故的生产经营单位及其主要负责人；</w:t>
      </w:r>
    </w:p>
    <w:p w14:paraId="183887A7">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3、发生生产安全事故，情节特别严重、影响特别恶劣，依照《中华人民共和国安全生产法》第一百一十四条的规定被处以罚款数额2倍以上5倍以下罚款的生产经营单位及其主要负责人；</w:t>
      </w:r>
    </w:p>
    <w:p w14:paraId="21A0DF09">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4、瞒报、谎报生产安全事故的生产经营单位及其有关责任人员；</w:t>
      </w:r>
    </w:p>
    <w:p w14:paraId="15EF70F1">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5、发生生产安全事故后，不立即组织抢救或者在事故调查处理期间擅离职守或者逃匿的生产经营单位主要负责人。</w:t>
      </w:r>
    </w:p>
    <w:p w14:paraId="07BD5180">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（二）下列未发生生产安全事故，但因安全生产违法行为，受到行政处罚的生产经营单位或者机构及其有关人员，应当列入严重失信主体名单：</w:t>
      </w:r>
    </w:p>
    <w:p w14:paraId="521710B3">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1、未依法取得安全生产相关许可或者许可被暂扣、吊销期间从事相关生产经营活动的生产经营单位及其主要负责人；</w:t>
      </w:r>
    </w:p>
    <w:p w14:paraId="3189F18E">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2、承担安全评价、认证、检测、检验职责的机构及其直接责任人员租借资质、挂靠、出具虚假报告或者证书的；</w:t>
      </w:r>
    </w:p>
    <w:p w14:paraId="79676032">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3、在应急管理部门作出行政处罚后，有执行能力拒不执行或者逃避执行的生产经营单位及其主要负责人；</w:t>
      </w:r>
    </w:p>
    <w:p w14:paraId="28C82E93">
      <w:pPr>
        <w:widowControl/>
        <w:autoSpaceDE w:val="0"/>
        <w:spacing w:line="480" w:lineRule="exact"/>
        <w:ind w:firstLine="480" w:firstLineChars="200"/>
        <w:jc w:val="left"/>
        <w:textAlignment w:val="baseline"/>
        <w:rPr>
          <w:rFonts w:ascii="宋体" w:hAnsi="宋体" w:cs="宋体"/>
          <w:color w:val="auto"/>
          <w:sz w:val="24"/>
        </w:rPr>
      </w:pPr>
      <w:r>
        <w:rPr>
          <w:rFonts w:hint="eastAsia" w:ascii="宋体" w:hAnsi="宋体" w:cs="宋体"/>
          <w:color w:val="auto"/>
          <w:kern w:val="0"/>
          <w:sz w:val="24"/>
          <w:lang w:bidi="ar"/>
        </w:rPr>
        <w:t>4、其他违反安全生产法律法规受到行政处罚，且性质恶劣、情节严重的。</w:t>
      </w:r>
    </w:p>
    <w:p w14:paraId="5C9B60AD">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color w:val="auto"/>
          <w:kern w:val="0"/>
          <w:sz w:val="24"/>
          <w:lang w:bidi="ar"/>
        </w:rPr>
        <w:t>依据：《安全生产严重失信主体名单管理办法》（2023年8月8日应急管理部令第11号）</w:t>
      </w:r>
    </w:p>
    <w:p w14:paraId="2ECF7632">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二、环境保护领域严重失信行为：</w:t>
      </w:r>
    </w:p>
    <w:p w14:paraId="2B10312B">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（一）因为环境违法构成环境犯罪的；</w:t>
      </w:r>
    </w:p>
    <w:p w14:paraId="1FFAF464">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（二）建设项目环境影响评价文件未按规定通过审批，擅自开工建设的；</w:t>
      </w:r>
    </w:p>
    <w:p w14:paraId="671407D0">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（三）建设项目环保设施未建成、环保措施未落实、未通过竣工环保验收或者验收不合格，主体工程正式投入生产或者使用的；</w:t>
      </w:r>
    </w:p>
    <w:p w14:paraId="63BA8AFB">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（四）建设项目性质、规模、地点、采用的生产工艺或者防治污染、防止生态破坏的措施发生重大变动，未重新报批环境影响评价文件，擅自投入生产或者使用的；</w:t>
      </w:r>
    </w:p>
    <w:p w14:paraId="2FA50791">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（五）主要污染物排放总量超过控制指标的；</w:t>
      </w:r>
    </w:p>
    <w:p w14:paraId="0CDF3173">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（六）私设暗管或者利用渗井、渗坑、裂隙、溶洞等排放、倾倒、处置水污染物，或者通过私设旁路排放大气污染物的；</w:t>
      </w:r>
    </w:p>
    <w:p w14:paraId="618C6D7C">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（七）非法排放、倾倒、处置危险废物，或者向无经营许可证或者超出经营许可范围的单位或个人提供或者委托其收集、贮存、利用、处置危险废物的；</w:t>
      </w:r>
    </w:p>
    <w:p w14:paraId="30716B11">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（八）环境违法行为造成集中式生活饮用水水源取水中断的；</w:t>
      </w:r>
    </w:p>
    <w:p w14:paraId="4329A89C">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（九）环境违法行为对生活饮用水水源保护区、自然保护区、国家重点生态功能区、风景名胜区、居住功能区、基本农田保护区等环境敏感区造成重大不利影响的；</w:t>
      </w:r>
    </w:p>
    <w:p w14:paraId="68BA2E20">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（十）违法从事自然资源开发、交通基础设施建设，以及其他开发建设活动，造成严重生态破坏的；</w:t>
      </w:r>
    </w:p>
    <w:p w14:paraId="288C6A9C">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（十一）发生较大及以上突发环境事件的；</w:t>
      </w:r>
    </w:p>
    <w:p w14:paraId="6C434561">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（十二）被环保部门挂牌督办，整改逾期未完成的；</w:t>
      </w:r>
    </w:p>
    <w:p w14:paraId="62CD0A60">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（十三）以暴力、威胁等方式拒绝、阻挠环保部门工作人员现场检查的；</w:t>
      </w:r>
    </w:p>
    <w:p w14:paraId="65CCFE2D">
      <w:pPr>
        <w:widowControl/>
        <w:autoSpaceDE w:val="0"/>
        <w:spacing w:line="480" w:lineRule="exact"/>
        <w:ind w:firstLine="480" w:firstLineChars="200"/>
        <w:jc w:val="left"/>
        <w:textAlignment w:val="baseline"/>
        <w:rPr>
          <w:rFonts w:ascii="宋体" w:hAnsi="宋体" w:cs="宋体"/>
          <w:color w:val="auto"/>
          <w:sz w:val="24"/>
        </w:rPr>
      </w:pPr>
      <w:r>
        <w:rPr>
          <w:rFonts w:hint="eastAsia" w:ascii="宋体" w:hAnsi="宋体" w:cs="宋体"/>
          <w:color w:val="auto"/>
          <w:kern w:val="0"/>
          <w:sz w:val="24"/>
          <w:lang w:bidi="ar"/>
        </w:rPr>
        <w:t>（十四）违反重污染天气应急预案有关规定，对重污染天气响应不力的。</w:t>
      </w:r>
    </w:p>
    <w:p w14:paraId="799C8865">
      <w:pPr>
        <w:widowControl/>
        <w:autoSpaceDE w:val="0"/>
        <w:spacing w:line="480" w:lineRule="exact"/>
        <w:ind w:firstLine="482" w:firstLineChars="200"/>
        <w:jc w:val="left"/>
        <w:textAlignment w:val="baseline"/>
        <w:rPr>
          <w:rFonts w:ascii="宋体" w:hAnsi="宋体" w:cs="宋体"/>
          <w:b/>
          <w:color w:val="auto"/>
          <w:sz w:val="24"/>
        </w:rPr>
      </w:pPr>
      <w:r>
        <w:rPr>
          <w:rFonts w:hint="eastAsia" w:ascii="宋体" w:hAnsi="宋体" w:cs="宋体"/>
          <w:b/>
          <w:color w:val="auto"/>
          <w:kern w:val="0"/>
          <w:sz w:val="24"/>
          <w:lang w:bidi="ar"/>
        </w:rPr>
        <w:t>依据：《关于对环境保护领域失信生产经营单位及其有关人员开展联合惩戒的合作备忘录》、《企业环境信用评价办法（试行）》（环发〔2013〕150号）</w:t>
      </w:r>
    </w:p>
    <w:p w14:paraId="3023B98E">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 xml:space="preserve"> </w:t>
      </w:r>
    </w:p>
    <w:p w14:paraId="4545A429">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三、公共资源交易领域严重失信行为</w:t>
      </w:r>
    </w:p>
    <w:p w14:paraId="3C231EB1">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（一）违反法律规定，必须进行招标的项目而不招标的，将必须进行招标的项目化整为零或者以其他任何方式规避招标的； </w:t>
      </w:r>
    </w:p>
    <w:p w14:paraId="4F010875">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（二）招标代理机构违反法律规定，泄露应当保密的与招标投标活动有关的情况和资料的，或者与招标人、投标人串通损害 国家利益、社会公共利益或者他人合法权益的；</w:t>
      </w:r>
    </w:p>
    <w:p w14:paraId="7539FEBA">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（三）招标人以不合理的条件限制或者排斥潜在投标人的，对潜在投标人实行歧视待遇的，强制要求投标人组成联合体共同 投标的，或者限制投标人之间竞争的；</w:t>
      </w:r>
    </w:p>
    <w:p w14:paraId="2CF90A97">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（四）依法必须进行招标的项目的招标人向他人透露已获取招标文件的潜在投标人的名称、数量或者可能影响公平竞争的有 关招标投标的其他情况的，或者泄露标底的；</w:t>
      </w:r>
    </w:p>
    <w:p w14:paraId="077131A2">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（五）投标人相互串通投标或者与招标人串通投标的，投标人以向招标人或者评标委员会成员行贿的手段谋取中标的； </w:t>
      </w:r>
    </w:p>
    <w:p w14:paraId="2A47D1ED">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（六）投标人以他人名义投标或者以其他方式弄虚作假，骗取中标的；</w:t>
      </w:r>
    </w:p>
    <w:p w14:paraId="264365C7">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（七）依法必须进行招标的项目，招标人违反法律规定，与投标人就投标价格、投标方案等实质性内容进行谈判的；</w:t>
      </w:r>
    </w:p>
    <w:p w14:paraId="5248793D">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A7027F5">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（九）招标人在评标委员会依法推荐的中标候选人以外确定中标人的，依法必须进行招标的项目在所有投标被评标委员会否 决后自行确定中标人的； </w:t>
      </w:r>
    </w:p>
    <w:p w14:paraId="3D6C0517">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（十）中标人将中标项目转让给他人的，将中标项目肢解后分别转让给他人的，违反法律规定将中标项目的部分主体、关键 性工作分包给他人的，或者分包人再次分包的； </w:t>
      </w:r>
    </w:p>
    <w:p w14:paraId="01F4A99E">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（十一）招标人与中标人不按照招标文件和中标人的投标文件订立合同的，或者招标人、中标人订立背离合同实质性内容的 协议的； </w:t>
      </w:r>
    </w:p>
    <w:p w14:paraId="24C25312">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（十二）中标人不按照与招标人订立的合同履行义务，情节严重的； </w:t>
      </w:r>
    </w:p>
    <w:p w14:paraId="6FE13728">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（十三）采购人、采购代理机构存在应当采用公开招标方式而擅自采用其他方式采购，擅自提高采购标准，以不合理的条件 对投标人实行差别待遇或者歧视待遇，在招标采购过程中与投标 人进行协商谈判，中标、成交通知书发出后不与中标、成交投标人签订采购合同，或者拒绝有关部门依法实施监督检查等情形的；</w:t>
      </w:r>
    </w:p>
    <w:p w14:paraId="10FBF0F3">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（十四）采购人、采购代理机构及其工作人员存在与投标人 或者采购代理机构恶意串通，在采购过程中接受贿赂或者获取其 他不正当利益，在有关部门依法实施的监督检查中提供虚假情况， 或者开标前泄露标底等情形的；</w:t>
      </w:r>
    </w:p>
    <w:p w14:paraId="77D8F271">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（十五）采购人对应当实行集中采购的政府采购项目，不委托集中采购机构实行集中采购的； </w:t>
      </w:r>
    </w:p>
    <w:p w14:paraId="2322CC09">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（十六）采购人、采购代理机构违反法律规定隐匿、销毁应当保存的采购文件或者伪造、变造采购文件的； </w:t>
      </w:r>
    </w:p>
    <w:p w14:paraId="2AD573B7">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（十七）投标人存在提供虚假材料谋取中标、成交，采取不 正当手段诋毁、排挤其他投标人，与采购人、其他投标人或者采 购代理机构恶意串通，向采购人、采购代理机构行贿或者提供其 他不正当利益，在招标采购过程中与采购人进行协商谈判，或拒 绝有关部门监督检查或者提供虚假情况等情形的； </w:t>
      </w:r>
    </w:p>
    <w:p w14:paraId="0EE7530C">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（十八）疫苗生产企业向县级疾病预防控制机构以外的单位或者个人销售第二类疫苗的； </w:t>
      </w:r>
    </w:p>
    <w:p w14:paraId="7C61DEF1">
      <w:pPr>
        <w:widowControl/>
        <w:autoSpaceDE w:val="0"/>
        <w:spacing w:line="480" w:lineRule="exact"/>
        <w:ind w:firstLine="480" w:firstLineChars="200"/>
        <w:jc w:val="left"/>
        <w:textAlignment w:val="baseline"/>
        <w:rPr>
          <w:rFonts w:ascii="宋体" w:hAnsi="宋体" w:cs="宋体"/>
          <w:color w:val="auto"/>
          <w:sz w:val="24"/>
        </w:rPr>
      </w:pPr>
      <w:r>
        <w:rPr>
          <w:rFonts w:hint="eastAsia" w:ascii="宋体" w:hAnsi="宋体" w:cs="宋体"/>
          <w:color w:val="auto"/>
          <w:kern w:val="0"/>
          <w:sz w:val="24"/>
          <w:lang w:bidi="ar"/>
        </w:rPr>
        <w:t>（十九）存在其他违反公共资源交易法律法规行为的。</w:t>
      </w:r>
    </w:p>
    <w:p w14:paraId="0D6A57F7">
      <w:pPr>
        <w:widowControl/>
        <w:autoSpaceDE w:val="0"/>
        <w:spacing w:line="480" w:lineRule="exact"/>
        <w:ind w:firstLine="482" w:firstLineChars="200"/>
        <w:jc w:val="left"/>
        <w:textAlignment w:val="baseline"/>
        <w:rPr>
          <w:rFonts w:ascii="宋体" w:hAnsi="宋体" w:cs="宋体"/>
          <w:b/>
          <w:color w:val="auto"/>
          <w:sz w:val="24"/>
        </w:rPr>
      </w:pPr>
      <w:r>
        <w:rPr>
          <w:rFonts w:hint="eastAsia" w:ascii="宋体" w:hAnsi="宋体" w:cs="宋体"/>
          <w:b/>
          <w:color w:val="auto"/>
          <w:kern w:val="0"/>
          <w:sz w:val="24"/>
          <w:lang w:bidi="ar"/>
        </w:rPr>
        <w:t>依据：《关于对公共资源交易领域严重失信主体开展联合惩戒的备忘录》（发改法规〔2018〕457号）</w:t>
      </w:r>
    </w:p>
    <w:p w14:paraId="3C5C1A4C">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 xml:space="preserve"> </w:t>
      </w:r>
    </w:p>
    <w:p w14:paraId="74E236AD">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四、社会保险领域严重失信行为</w:t>
      </w:r>
    </w:p>
    <w:p w14:paraId="4267F0E7">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（一）用人单位未按相关规定参加社会保险且拒不整改的； </w:t>
      </w:r>
    </w:p>
    <w:p w14:paraId="11122BE7">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（二）用人单位未如实申报社会保险缴费基数且拒不整改的； </w:t>
      </w:r>
    </w:p>
    <w:p w14:paraId="7ECA4060">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（三）应缴纳社会保险费却拒不缴纳的； </w:t>
      </w:r>
    </w:p>
    <w:p w14:paraId="43CD1798">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（四）隐匿、转移、侵占、挪用社会保险费款、基金或者违规投资运营的；</w:t>
      </w:r>
    </w:p>
    <w:p w14:paraId="0683A4FE">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（五）以欺诈、伪造证明材料或者其他手段参加、申报社会保险和骗取社会保险基金支出或社会保险待遇的； </w:t>
      </w:r>
    </w:p>
    <w:p w14:paraId="37116284">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（六）非法获取、出售或变相交易社会保险个人权益数据的； </w:t>
      </w:r>
    </w:p>
    <w:p w14:paraId="7B21F01B">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（七）社会保险服务机构违反服务协议或相关规定的； </w:t>
      </w:r>
    </w:p>
    <w:p w14:paraId="3DDF5A95">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 xml:space="preserve">（八）拒绝协助社会保险行政部门、经办机构对事故和问题进 行调查核实的；拒绝接受或协助税务部门对社会保险实施监督检查， 不如实提供与社会保险相关各项资料的； </w:t>
      </w:r>
    </w:p>
    <w:p w14:paraId="467A9A3B">
      <w:pPr>
        <w:widowControl/>
        <w:autoSpaceDE w:val="0"/>
        <w:spacing w:line="480" w:lineRule="exact"/>
        <w:ind w:firstLine="480" w:firstLineChars="200"/>
        <w:jc w:val="left"/>
        <w:textAlignment w:val="baseline"/>
        <w:rPr>
          <w:rFonts w:ascii="宋体" w:hAnsi="宋体" w:cs="宋体"/>
          <w:color w:val="auto"/>
          <w:sz w:val="24"/>
        </w:rPr>
      </w:pPr>
      <w:r>
        <w:rPr>
          <w:rFonts w:hint="eastAsia" w:ascii="宋体" w:hAnsi="宋体" w:cs="宋体"/>
          <w:color w:val="auto"/>
          <w:kern w:val="0"/>
          <w:sz w:val="24"/>
          <w:lang w:bidi="ar"/>
        </w:rPr>
        <w:t>（九）其他违反法律法规规定的。</w:t>
      </w:r>
    </w:p>
    <w:p w14:paraId="08596EA2">
      <w:pPr>
        <w:widowControl/>
        <w:autoSpaceDE w:val="0"/>
        <w:spacing w:line="480" w:lineRule="exact"/>
        <w:ind w:firstLine="482" w:firstLineChars="200"/>
        <w:jc w:val="left"/>
        <w:textAlignment w:val="baseline"/>
        <w:rPr>
          <w:rFonts w:ascii="宋体" w:hAnsi="宋体" w:cs="宋体"/>
          <w:b/>
          <w:color w:val="auto"/>
          <w:sz w:val="24"/>
        </w:rPr>
      </w:pPr>
      <w:r>
        <w:rPr>
          <w:rFonts w:hint="eastAsia" w:ascii="宋体" w:hAnsi="宋体" w:cs="宋体"/>
          <w:b/>
          <w:color w:val="auto"/>
          <w:kern w:val="0"/>
          <w:sz w:val="24"/>
          <w:lang w:bidi="ar"/>
        </w:rPr>
        <w:t>依据：《关于对社会保险领域严重失信企业及其有关人员实施联合惩戒的合作备忘录》（发改财金〔2018〕1704号）</w:t>
      </w:r>
    </w:p>
    <w:p w14:paraId="466CC0F9">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 xml:space="preserve"> </w:t>
      </w:r>
    </w:p>
    <w:p w14:paraId="6459581B">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五、建筑市场领域严重失信行为</w:t>
      </w:r>
    </w:p>
    <w:p w14:paraId="6B8B8C46">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（一）利用虚假材料、以欺骗手段取得企业资质的；</w:t>
      </w:r>
    </w:p>
    <w:p w14:paraId="69420BA6">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（二）发生转包、出借资质，受到行政处罚的；</w:t>
      </w:r>
    </w:p>
    <w:p w14:paraId="1E5821B8">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（三）发生重大及以上工程质量安全事故，或1年内累计发生2次及以上较大工程质量安全事故，或发生性质恶劣、危害性严重、社会影响大的较大工程质量安全事故，受到行政处罚的；</w:t>
      </w:r>
    </w:p>
    <w:p w14:paraId="43A184BC">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（四）经法院判决或仲裁机构裁决，认定为拖欠工程款,且拒不履行生效法律文书确定的义务的。</w:t>
      </w:r>
    </w:p>
    <w:p w14:paraId="74FB33AA">
      <w:pPr>
        <w:widowControl/>
        <w:autoSpaceDE w:val="0"/>
        <w:spacing w:line="480" w:lineRule="exact"/>
        <w:ind w:firstLine="480" w:firstLineChars="200"/>
        <w:jc w:val="left"/>
        <w:textAlignment w:val="baseline"/>
        <w:rPr>
          <w:rFonts w:ascii="宋体" w:hAnsi="宋体" w:cs="宋体"/>
          <w:color w:val="auto"/>
          <w:sz w:val="24"/>
        </w:rPr>
      </w:pPr>
      <w:r>
        <w:rPr>
          <w:rFonts w:hint="eastAsia" w:ascii="宋体" w:hAnsi="宋体" w:cs="宋体"/>
          <w:color w:val="auto"/>
          <w:kern w:val="0"/>
          <w:sz w:val="24"/>
          <w:lang w:bidi="ar"/>
        </w:rPr>
        <w:t>各级住房城乡建设主管部门应当参照建筑市场主体“黑名单”，对被人力资源社会保障行政部门列入拖欠农民工工资“黑名单”的建筑市场各方主体加强监管。</w:t>
      </w:r>
    </w:p>
    <w:p w14:paraId="40EEE7FD">
      <w:pPr>
        <w:widowControl/>
        <w:autoSpaceDE w:val="0"/>
        <w:spacing w:line="480" w:lineRule="exact"/>
        <w:ind w:firstLine="482" w:firstLineChars="200"/>
        <w:jc w:val="left"/>
        <w:textAlignment w:val="baseline"/>
        <w:rPr>
          <w:rFonts w:ascii="宋体" w:hAnsi="宋体" w:cs="宋体"/>
          <w:color w:val="auto"/>
          <w:sz w:val="24"/>
        </w:rPr>
      </w:pPr>
      <w:r>
        <w:rPr>
          <w:rFonts w:hint="eastAsia" w:ascii="宋体" w:hAnsi="宋体" w:cs="宋体"/>
          <w:b/>
          <w:color w:val="auto"/>
          <w:kern w:val="0"/>
          <w:sz w:val="24"/>
          <w:lang w:bidi="ar"/>
        </w:rPr>
        <w:t>依据：《建筑市场信用管理暂行办法》（建市〔2017〕241号）</w:t>
      </w:r>
    </w:p>
    <w:p w14:paraId="1C17ED26">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 xml:space="preserve"> </w:t>
      </w:r>
    </w:p>
    <w:p w14:paraId="63A58D30">
      <w:pPr>
        <w:widowControl/>
        <w:autoSpaceDE w:val="0"/>
        <w:spacing w:line="480" w:lineRule="exact"/>
        <w:ind w:firstLine="482" w:firstLineChars="200"/>
        <w:jc w:val="left"/>
        <w:textAlignment w:val="baseline"/>
        <w:rPr>
          <w:rFonts w:ascii="宋体" w:hAnsi="宋体" w:cs="宋体"/>
          <w:b/>
          <w:bCs/>
          <w:color w:val="auto"/>
          <w:sz w:val="24"/>
        </w:rPr>
      </w:pPr>
      <w:r>
        <w:rPr>
          <w:rFonts w:hint="eastAsia" w:ascii="宋体" w:hAnsi="宋体" w:cs="宋体"/>
          <w:b/>
          <w:bCs/>
          <w:color w:val="auto"/>
          <w:kern w:val="0"/>
          <w:sz w:val="24"/>
          <w:lang w:bidi="ar"/>
        </w:rPr>
        <w:t>六、政府采购严重失信行为</w:t>
      </w:r>
    </w:p>
    <w:p w14:paraId="7E593120">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投标人、采购代理机构在三年内受到财政部门作出下列情形之一的行政处罚，列入政府采购严重违法失信行为记录名单。</w:t>
      </w:r>
    </w:p>
    <w:p w14:paraId="49E32A9F">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（一）三万元以上罚款；</w:t>
      </w:r>
    </w:p>
    <w:p w14:paraId="70822FEF">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（二）在一至三年内禁止参加政府采购活动（处罚期限届满的除外）；</w:t>
      </w:r>
    </w:p>
    <w:p w14:paraId="71D7F05F">
      <w:pPr>
        <w:widowControl/>
        <w:autoSpaceDE w:val="0"/>
        <w:spacing w:line="480" w:lineRule="exact"/>
        <w:ind w:firstLine="480" w:firstLineChars="200"/>
        <w:jc w:val="left"/>
        <w:textAlignment w:val="baseline"/>
        <w:rPr>
          <w:rFonts w:ascii="宋体" w:hAnsi="宋体" w:cs="宋体"/>
          <w:color w:val="auto"/>
          <w:kern w:val="0"/>
          <w:sz w:val="24"/>
          <w:lang w:bidi="ar"/>
        </w:rPr>
      </w:pPr>
      <w:r>
        <w:rPr>
          <w:rFonts w:hint="eastAsia" w:ascii="宋体" w:hAnsi="宋体" w:cs="宋体"/>
          <w:color w:val="auto"/>
          <w:kern w:val="0"/>
          <w:sz w:val="24"/>
          <w:lang w:bidi="ar"/>
        </w:rPr>
        <w:t>（三）在一至三年内禁止代理政府采购业务（处罚期限届满的除外）；</w:t>
      </w:r>
    </w:p>
    <w:p w14:paraId="715FF242">
      <w:pPr>
        <w:widowControl/>
        <w:autoSpaceDE w:val="0"/>
        <w:spacing w:line="480" w:lineRule="exact"/>
        <w:ind w:firstLine="480" w:firstLineChars="200"/>
        <w:jc w:val="left"/>
        <w:textAlignment w:val="baseline"/>
        <w:rPr>
          <w:rFonts w:ascii="宋体" w:hAnsi="宋体" w:cs="宋体"/>
          <w:color w:val="auto"/>
          <w:sz w:val="24"/>
        </w:rPr>
      </w:pPr>
      <w:r>
        <w:rPr>
          <w:rFonts w:hint="eastAsia" w:ascii="宋体" w:hAnsi="宋体" w:cs="宋体"/>
          <w:color w:val="auto"/>
          <w:kern w:val="0"/>
          <w:sz w:val="24"/>
          <w:lang w:bidi="ar"/>
        </w:rPr>
        <w:t>（四）撤销政府采购代理机构资格（仅针对《政府采购法》第78条修改前作出的处罚决定）。</w:t>
      </w:r>
    </w:p>
    <w:p w14:paraId="4CF1EFAA">
      <w:pPr>
        <w:widowControl/>
        <w:autoSpaceDE w:val="0"/>
        <w:spacing w:line="480" w:lineRule="exact"/>
        <w:ind w:firstLine="482" w:firstLineChars="200"/>
        <w:jc w:val="left"/>
        <w:textAlignment w:val="baseline"/>
        <w:rPr>
          <w:rFonts w:ascii="宋体" w:hAnsi="宋体" w:cs="宋体"/>
          <w:b/>
          <w:color w:val="auto"/>
          <w:sz w:val="24"/>
        </w:rPr>
      </w:pPr>
      <w:r>
        <w:rPr>
          <w:rFonts w:hint="eastAsia" w:ascii="宋体" w:hAnsi="宋体" w:cs="宋体"/>
          <w:b/>
          <w:color w:val="auto"/>
          <w:kern w:val="0"/>
          <w:sz w:val="24"/>
          <w:lang w:bidi="ar"/>
        </w:rPr>
        <w:t>依据：《关于报送政府采购严重违法失信行为信息记录的通知》（财办库〔2014〕526号）</w:t>
      </w:r>
    </w:p>
    <w:p w14:paraId="22BCF1A0">
      <w:pPr>
        <w:widowControl/>
        <w:autoSpaceDE w:val="0"/>
        <w:spacing w:line="480" w:lineRule="exact"/>
        <w:ind w:firstLine="480" w:firstLineChars="200"/>
        <w:textAlignment w:val="baseline"/>
        <w:rPr>
          <w:rFonts w:ascii="宋体" w:hAnsi="宋体" w:cs="宋体"/>
          <w:color w:val="auto"/>
          <w:sz w:val="24"/>
        </w:rPr>
      </w:pPr>
      <w:r>
        <w:rPr>
          <w:rFonts w:hint="eastAsia" w:ascii="宋体" w:hAnsi="宋体" w:cs="宋体"/>
          <w:color w:val="auto"/>
          <w:kern w:val="0"/>
          <w:sz w:val="24"/>
          <w:lang w:bidi="ar"/>
        </w:rPr>
        <w:t xml:space="preserve"> </w:t>
      </w:r>
    </w:p>
    <w:p w14:paraId="55C182A5">
      <w:pPr>
        <w:widowControl/>
        <w:autoSpaceDE w:val="0"/>
        <w:spacing w:line="480" w:lineRule="exact"/>
        <w:ind w:firstLine="482" w:firstLineChars="200"/>
        <w:jc w:val="left"/>
        <w:textAlignment w:val="baseline"/>
        <w:rPr>
          <w:color w:val="auto"/>
        </w:rPr>
      </w:pPr>
      <w:r>
        <w:rPr>
          <w:rFonts w:hint="eastAsia" w:ascii="宋体" w:hAnsi="宋体" w:cs="宋体"/>
          <w:b/>
          <w:color w:val="auto"/>
          <w:kern w:val="0"/>
          <w:sz w:val="24"/>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lang w:bidi="ar"/>
        </w:rPr>
        <w:t>。</w:t>
      </w:r>
    </w:p>
    <w:sectPr>
      <w:headerReference r:id="rId10" w:type="default"/>
      <w:footerReference r:id="rId11" w:type="default"/>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Microsoft Sans Serif"/>
    <w:panose1 w:val="00000000000000000000"/>
    <w:charset w:val="DE"/>
    <w:family w:val="swiss"/>
    <w:pitch w:val="default"/>
    <w:sig w:usb0="00000000" w:usb1="00000000" w:usb2="00000000" w:usb3="00000000" w:csb0="40010001" w:csb1="00000000"/>
  </w:font>
  <w:font w:name="Microsoft Sans Serif">
    <w:panose1 w:val="020B0604020202020204"/>
    <w:charset w:val="00"/>
    <w:family w:val="auto"/>
    <w:pitch w:val="default"/>
    <w:sig w:usb0="E5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4"/>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4"/>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4"/>
      <w:framePr w:wrap="around" w:vAnchor="text" w:hAnchor="margin" w:xAlign="center" w:y="1"/>
      <w:tabs>
        <w:tab w:val="clear" w:pos="4153"/>
        <w:tab w:val="clear" w:pos="8306"/>
      </w:tabs>
      <w:rPr>
        <w:rStyle w:val="40"/>
      </w:rPr>
    </w:pPr>
  </w:p>
  <w:p w14:paraId="4E2F41FC">
    <w:pPr>
      <w:pStyle w:val="24"/>
      <w:tabs>
        <w:tab w:val="clear" w:pos="4153"/>
        <w:tab w:val="clear" w:pos="8306"/>
      </w:tabs>
      <w:rPr>
        <w:szCs w:val="21"/>
      </w:rPr>
    </w:pPr>
  </w:p>
  <w:p w14:paraId="00C9D172">
    <w:pPr>
      <w:pStyle w:val="24"/>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4"/>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DA5C4">
                          <w:pPr>
                            <w:pStyle w:val="24"/>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0DA5C4">
                    <w:pPr>
                      <w:pStyle w:val="24"/>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4"/>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02354">
                          <w:pPr>
                            <w:pStyle w:val="24"/>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9D02354">
                    <w:pPr>
                      <w:pStyle w:val="24"/>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6"/>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6"/>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6"/>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9"/>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2"/>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2"/>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8"/>
      <w:lvlText w:val="%1."/>
      <w:lvlJc w:val="left"/>
      <w:pPr>
        <w:ind w:left="42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FF2ED6"/>
    <w:multiLevelType w:val="singleLevel"/>
    <w:tmpl w:val="7DFF2ED6"/>
    <w:lvl w:ilvl="0" w:tentative="0">
      <w:start w:val="1"/>
      <w:numFmt w:val="decimal"/>
      <w:lvlText w:val="%1."/>
      <w:lvlJc w:val="left"/>
      <w:pPr>
        <w:tabs>
          <w:tab w:val="left" w:pos="312"/>
        </w:tabs>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6D21"/>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0B6"/>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D86"/>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07C"/>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0E7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4E4B"/>
    <w:rsid w:val="001654FA"/>
    <w:rsid w:val="0016649D"/>
    <w:rsid w:val="00166692"/>
    <w:rsid w:val="0016722F"/>
    <w:rsid w:val="00167DD2"/>
    <w:rsid w:val="00167EAD"/>
    <w:rsid w:val="00170051"/>
    <w:rsid w:val="00170340"/>
    <w:rsid w:val="0017080E"/>
    <w:rsid w:val="00170C26"/>
    <w:rsid w:val="00171430"/>
    <w:rsid w:val="00171B1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3C32"/>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5B80"/>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545B"/>
    <w:rsid w:val="002760E4"/>
    <w:rsid w:val="002765B9"/>
    <w:rsid w:val="00276E5E"/>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4CD4"/>
    <w:rsid w:val="002D5B85"/>
    <w:rsid w:val="002D64B1"/>
    <w:rsid w:val="002D6C02"/>
    <w:rsid w:val="002D6F6A"/>
    <w:rsid w:val="002D73D4"/>
    <w:rsid w:val="002E023A"/>
    <w:rsid w:val="002E05E3"/>
    <w:rsid w:val="002E0CF1"/>
    <w:rsid w:val="002E1533"/>
    <w:rsid w:val="002E1AF0"/>
    <w:rsid w:val="002E1BF8"/>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476D2"/>
    <w:rsid w:val="003504E0"/>
    <w:rsid w:val="00351B7B"/>
    <w:rsid w:val="003520CF"/>
    <w:rsid w:val="00352130"/>
    <w:rsid w:val="00352629"/>
    <w:rsid w:val="00352F5E"/>
    <w:rsid w:val="003535C3"/>
    <w:rsid w:val="003537C8"/>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244"/>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3575"/>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99A"/>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89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5759E"/>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0F47"/>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6FCA"/>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B79C5"/>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048B"/>
    <w:rsid w:val="004E1DDA"/>
    <w:rsid w:val="004E1EEF"/>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0FC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0EFD"/>
    <w:rsid w:val="005212D1"/>
    <w:rsid w:val="00521398"/>
    <w:rsid w:val="005216F4"/>
    <w:rsid w:val="00521A71"/>
    <w:rsid w:val="00521C4C"/>
    <w:rsid w:val="005230ED"/>
    <w:rsid w:val="0052353E"/>
    <w:rsid w:val="00523589"/>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0AF"/>
    <w:rsid w:val="00592A5D"/>
    <w:rsid w:val="00592D2A"/>
    <w:rsid w:val="0059373E"/>
    <w:rsid w:val="00594EC0"/>
    <w:rsid w:val="0059545B"/>
    <w:rsid w:val="00596D16"/>
    <w:rsid w:val="00596DC4"/>
    <w:rsid w:val="005A0E19"/>
    <w:rsid w:val="005A224F"/>
    <w:rsid w:val="005A268E"/>
    <w:rsid w:val="005A38A3"/>
    <w:rsid w:val="005A3F5D"/>
    <w:rsid w:val="005A5F79"/>
    <w:rsid w:val="005A7103"/>
    <w:rsid w:val="005A7372"/>
    <w:rsid w:val="005A79B9"/>
    <w:rsid w:val="005A7A1D"/>
    <w:rsid w:val="005B0CEE"/>
    <w:rsid w:val="005B214C"/>
    <w:rsid w:val="005B2527"/>
    <w:rsid w:val="005B4DB2"/>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768"/>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8F8"/>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3F04"/>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037E"/>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75E"/>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3AA"/>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0EB9"/>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645"/>
    <w:rsid w:val="008E6D1A"/>
    <w:rsid w:val="008E7021"/>
    <w:rsid w:val="008E79D3"/>
    <w:rsid w:val="008E7A16"/>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4663"/>
    <w:rsid w:val="00905504"/>
    <w:rsid w:val="00906B8F"/>
    <w:rsid w:val="00906BBF"/>
    <w:rsid w:val="00906CF9"/>
    <w:rsid w:val="009100A1"/>
    <w:rsid w:val="009102F3"/>
    <w:rsid w:val="00910587"/>
    <w:rsid w:val="00910D50"/>
    <w:rsid w:val="009114C1"/>
    <w:rsid w:val="00911674"/>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15FA"/>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57"/>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06A"/>
    <w:rsid w:val="00992311"/>
    <w:rsid w:val="00993604"/>
    <w:rsid w:val="00993814"/>
    <w:rsid w:val="00993F85"/>
    <w:rsid w:val="009954B9"/>
    <w:rsid w:val="0099649B"/>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3AD8"/>
    <w:rsid w:val="009B41AF"/>
    <w:rsid w:val="009B491B"/>
    <w:rsid w:val="009B51E7"/>
    <w:rsid w:val="009B5A8B"/>
    <w:rsid w:val="009B6833"/>
    <w:rsid w:val="009B68BD"/>
    <w:rsid w:val="009B7953"/>
    <w:rsid w:val="009B7B21"/>
    <w:rsid w:val="009C0455"/>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2D0C"/>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658D"/>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3C7"/>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3EB8"/>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BBE"/>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2E6A"/>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2690"/>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854"/>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181F"/>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17DE"/>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1C12"/>
    <w:rsid w:val="00C22A88"/>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D9"/>
    <w:rsid w:val="00C700F9"/>
    <w:rsid w:val="00C704CE"/>
    <w:rsid w:val="00C7063B"/>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398"/>
    <w:rsid w:val="00CC1AF7"/>
    <w:rsid w:val="00CC2A25"/>
    <w:rsid w:val="00CC2C3B"/>
    <w:rsid w:val="00CC608F"/>
    <w:rsid w:val="00CC60EA"/>
    <w:rsid w:val="00CC69CB"/>
    <w:rsid w:val="00CC78DD"/>
    <w:rsid w:val="00CC7A0B"/>
    <w:rsid w:val="00CC7AF9"/>
    <w:rsid w:val="00CD0CD4"/>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E6C48"/>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92D"/>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37066"/>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C4E"/>
    <w:rsid w:val="00D54FBC"/>
    <w:rsid w:val="00D56ADB"/>
    <w:rsid w:val="00D60987"/>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1"/>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3B22"/>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2BB9"/>
    <w:rsid w:val="00DD32B7"/>
    <w:rsid w:val="00DD4059"/>
    <w:rsid w:val="00DD4C91"/>
    <w:rsid w:val="00DD50C5"/>
    <w:rsid w:val="00DD6EE9"/>
    <w:rsid w:val="00DD7F04"/>
    <w:rsid w:val="00DE041D"/>
    <w:rsid w:val="00DE0744"/>
    <w:rsid w:val="00DE0912"/>
    <w:rsid w:val="00DE10B9"/>
    <w:rsid w:val="00DE1962"/>
    <w:rsid w:val="00DE3EA2"/>
    <w:rsid w:val="00DE40EC"/>
    <w:rsid w:val="00DE42AF"/>
    <w:rsid w:val="00DE43B2"/>
    <w:rsid w:val="00DE4C68"/>
    <w:rsid w:val="00DE517F"/>
    <w:rsid w:val="00DE583F"/>
    <w:rsid w:val="00DE63C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C6B"/>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1B2"/>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5AE"/>
    <w:rsid w:val="00E716F9"/>
    <w:rsid w:val="00E718E9"/>
    <w:rsid w:val="00E7190B"/>
    <w:rsid w:val="00E730C9"/>
    <w:rsid w:val="00E7398E"/>
    <w:rsid w:val="00E73B79"/>
    <w:rsid w:val="00E74078"/>
    <w:rsid w:val="00E743C4"/>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DA6"/>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448"/>
    <w:rsid w:val="00EA05C5"/>
    <w:rsid w:val="00EA1AE3"/>
    <w:rsid w:val="00EA1BB6"/>
    <w:rsid w:val="00EA1CC0"/>
    <w:rsid w:val="00EA20BE"/>
    <w:rsid w:val="00EA23CD"/>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16"/>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1F5"/>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2DB"/>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294"/>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D15"/>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4D17"/>
    <w:rsid w:val="00FF53A5"/>
    <w:rsid w:val="00FF5723"/>
    <w:rsid w:val="00FF72AB"/>
    <w:rsid w:val="00FF75DD"/>
    <w:rsid w:val="01080A12"/>
    <w:rsid w:val="01111B7C"/>
    <w:rsid w:val="01170C55"/>
    <w:rsid w:val="0156352C"/>
    <w:rsid w:val="0160078A"/>
    <w:rsid w:val="016025FC"/>
    <w:rsid w:val="01727AD4"/>
    <w:rsid w:val="018C519F"/>
    <w:rsid w:val="01910A08"/>
    <w:rsid w:val="01A050EF"/>
    <w:rsid w:val="01A56261"/>
    <w:rsid w:val="01CE57B8"/>
    <w:rsid w:val="01F30A1B"/>
    <w:rsid w:val="01FA3738"/>
    <w:rsid w:val="02136A35"/>
    <w:rsid w:val="02263E9A"/>
    <w:rsid w:val="02276CDB"/>
    <w:rsid w:val="02602E58"/>
    <w:rsid w:val="0261487E"/>
    <w:rsid w:val="026A14A8"/>
    <w:rsid w:val="0284108D"/>
    <w:rsid w:val="02846ED2"/>
    <w:rsid w:val="02922C89"/>
    <w:rsid w:val="029F0F02"/>
    <w:rsid w:val="02AB3F80"/>
    <w:rsid w:val="02C941D1"/>
    <w:rsid w:val="02F92D08"/>
    <w:rsid w:val="02FF011F"/>
    <w:rsid w:val="0306625F"/>
    <w:rsid w:val="0314369E"/>
    <w:rsid w:val="03192A63"/>
    <w:rsid w:val="032B6C3A"/>
    <w:rsid w:val="0332792D"/>
    <w:rsid w:val="03433F84"/>
    <w:rsid w:val="034D4E02"/>
    <w:rsid w:val="03636F78"/>
    <w:rsid w:val="037543B7"/>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C57B7"/>
    <w:rsid w:val="04BD2AAB"/>
    <w:rsid w:val="04C00E1E"/>
    <w:rsid w:val="04C90D1F"/>
    <w:rsid w:val="050138D2"/>
    <w:rsid w:val="05037796"/>
    <w:rsid w:val="05072DB3"/>
    <w:rsid w:val="05713E65"/>
    <w:rsid w:val="05777F14"/>
    <w:rsid w:val="057F7413"/>
    <w:rsid w:val="059302F0"/>
    <w:rsid w:val="05B55DC4"/>
    <w:rsid w:val="05C56ED2"/>
    <w:rsid w:val="05EB7E30"/>
    <w:rsid w:val="05F834BB"/>
    <w:rsid w:val="0600615C"/>
    <w:rsid w:val="0619721E"/>
    <w:rsid w:val="062459A5"/>
    <w:rsid w:val="06304C93"/>
    <w:rsid w:val="064510DB"/>
    <w:rsid w:val="06581AF4"/>
    <w:rsid w:val="06620B3A"/>
    <w:rsid w:val="066E7569"/>
    <w:rsid w:val="069717B9"/>
    <w:rsid w:val="06D0451E"/>
    <w:rsid w:val="06DA6FC6"/>
    <w:rsid w:val="06EB6E0C"/>
    <w:rsid w:val="06F15AA5"/>
    <w:rsid w:val="06F34B4B"/>
    <w:rsid w:val="06FF299A"/>
    <w:rsid w:val="070A729C"/>
    <w:rsid w:val="07342561"/>
    <w:rsid w:val="073C599D"/>
    <w:rsid w:val="073E5575"/>
    <w:rsid w:val="074128B0"/>
    <w:rsid w:val="074A10F8"/>
    <w:rsid w:val="0761194E"/>
    <w:rsid w:val="076432D3"/>
    <w:rsid w:val="07702E6D"/>
    <w:rsid w:val="0781151E"/>
    <w:rsid w:val="07B54D24"/>
    <w:rsid w:val="07B63215"/>
    <w:rsid w:val="07B77A9C"/>
    <w:rsid w:val="07BC624E"/>
    <w:rsid w:val="07DC7A53"/>
    <w:rsid w:val="07EF46DA"/>
    <w:rsid w:val="07F65A68"/>
    <w:rsid w:val="08000695"/>
    <w:rsid w:val="08081FA5"/>
    <w:rsid w:val="080B7557"/>
    <w:rsid w:val="08181E21"/>
    <w:rsid w:val="08184EC7"/>
    <w:rsid w:val="081C0B89"/>
    <w:rsid w:val="082219A2"/>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F12E9"/>
    <w:rsid w:val="09367BAA"/>
    <w:rsid w:val="09381D73"/>
    <w:rsid w:val="09383769"/>
    <w:rsid w:val="09473B2C"/>
    <w:rsid w:val="09523E99"/>
    <w:rsid w:val="096A3477"/>
    <w:rsid w:val="097C361B"/>
    <w:rsid w:val="09AB5942"/>
    <w:rsid w:val="09B064D1"/>
    <w:rsid w:val="09BC05EC"/>
    <w:rsid w:val="09BF2ED7"/>
    <w:rsid w:val="09BF7674"/>
    <w:rsid w:val="09F45FD8"/>
    <w:rsid w:val="09F806A3"/>
    <w:rsid w:val="0A0B50CF"/>
    <w:rsid w:val="0A0D1190"/>
    <w:rsid w:val="0A2456C5"/>
    <w:rsid w:val="0A2543E3"/>
    <w:rsid w:val="0A474057"/>
    <w:rsid w:val="0A4D018D"/>
    <w:rsid w:val="0A641E3D"/>
    <w:rsid w:val="0AA34B1B"/>
    <w:rsid w:val="0AAD7CD9"/>
    <w:rsid w:val="0AB6328D"/>
    <w:rsid w:val="0ABD15CE"/>
    <w:rsid w:val="0ABF263A"/>
    <w:rsid w:val="0AD12B8F"/>
    <w:rsid w:val="0ADA341F"/>
    <w:rsid w:val="0AF50259"/>
    <w:rsid w:val="0AF618DB"/>
    <w:rsid w:val="0B043FF8"/>
    <w:rsid w:val="0B0A6314"/>
    <w:rsid w:val="0B335CF7"/>
    <w:rsid w:val="0B5C2086"/>
    <w:rsid w:val="0B5C5BE2"/>
    <w:rsid w:val="0B6B051B"/>
    <w:rsid w:val="0B6E6353"/>
    <w:rsid w:val="0B7B2E88"/>
    <w:rsid w:val="0B8415DD"/>
    <w:rsid w:val="0B842ECF"/>
    <w:rsid w:val="0BA53A0C"/>
    <w:rsid w:val="0BA8462C"/>
    <w:rsid w:val="0BBA4FFF"/>
    <w:rsid w:val="0BD10EF4"/>
    <w:rsid w:val="0BEC0639"/>
    <w:rsid w:val="0BED19DF"/>
    <w:rsid w:val="0C130BB2"/>
    <w:rsid w:val="0C193B8E"/>
    <w:rsid w:val="0C1C4E30"/>
    <w:rsid w:val="0C2653A0"/>
    <w:rsid w:val="0C2E6536"/>
    <w:rsid w:val="0C392862"/>
    <w:rsid w:val="0C403BDE"/>
    <w:rsid w:val="0C447B66"/>
    <w:rsid w:val="0C4B726D"/>
    <w:rsid w:val="0C563442"/>
    <w:rsid w:val="0C56723C"/>
    <w:rsid w:val="0C5B233E"/>
    <w:rsid w:val="0C6172A8"/>
    <w:rsid w:val="0C776A4C"/>
    <w:rsid w:val="0C782EF0"/>
    <w:rsid w:val="0C7B0EF4"/>
    <w:rsid w:val="0C8E44C1"/>
    <w:rsid w:val="0C9C7EE1"/>
    <w:rsid w:val="0CA20839"/>
    <w:rsid w:val="0CA21D1B"/>
    <w:rsid w:val="0CB14648"/>
    <w:rsid w:val="0CB21A52"/>
    <w:rsid w:val="0CD72DE2"/>
    <w:rsid w:val="0CE9794A"/>
    <w:rsid w:val="0CED2FC7"/>
    <w:rsid w:val="0CF1374F"/>
    <w:rsid w:val="0D0429D6"/>
    <w:rsid w:val="0D0B3D64"/>
    <w:rsid w:val="0D126D3D"/>
    <w:rsid w:val="0D1644B7"/>
    <w:rsid w:val="0D194DAA"/>
    <w:rsid w:val="0D1D5845"/>
    <w:rsid w:val="0D3D634E"/>
    <w:rsid w:val="0D4472E3"/>
    <w:rsid w:val="0D5374B9"/>
    <w:rsid w:val="0D56790F"/>
    <w:rsid w:val="0D622EB4"/>
    <w:rsid w:val="0D63594E"/>
    <w:rsid w:val="0D6671EC"/>
    <w:rsid w:val="0D83708C"/>
    <w:rsid w:val="0D854328"/>
    <w:rsid w:val="0D927FE1"/>
    <w:rsid w:val="0DDB1F25"/>
    <w:rsid w:val="0DE34346"/>
    <w:rsid w:val="0DF465A6"/>
    <w:rsid w:val="0DFC545B"/>
    <w:rsid w:val="0E004116"/>
    <w:rsid w:val="0E077E36"/>
    <w:rsid w:val="0E0E22E1"/>
    <w:rsid w:val="0E554C8F"/>
    <w:rsid w:val="0E5A2C39"/>
    <w:rsid w:val="0E736B11"/>
    <w:rsid w:val="0E7F3562"/>
    <w:rsid w:val="0E87741A"/>
    <w:rsid w:val="0E8E126E"/>
    <w:rsid w:val="0EBD2885"/>
    <w:rsid w:val="0EC34B2B"/>
    <w:rsid w:val="0ECA6B2D"/>
    <w:rsid w:val="0ECB5D10"/>
    <w:rsid w:val="0ECC1E18"/>
    <w:rsid w:val="0ED85EC8"/>
    <w:rsid w:val="0EE11257"/>
    <w:rsid w:val="0EE35EF2"/>
    <w:rsid w:val="0EEA5D60"/>
    <w:rsid w:val="0EEE7499"/>
    <w:rsid w:val="0EEF38D9"/>
    <w:rsid w:val="0EFA5849"/>
    <w:rsid w:val="0F16254C"/>
    <w:rsid w:val="0F1E6594"/>
    <w:rsid w:val="0F295746"/>
    <w:rsid w:val="0F2B6888"/>
    <w:rsid w:val="0F2C1D70"/>
    <w:rsid w:val="0F4F5F19"/>
    <w:rsid w:val="0F547B71"/>
    <w:rsid w:val="0F590199"/>
    <w:rsid w:val="0F7936CC"/>
    <w:rsid w:val="0F882744"/>
    <w:rsid w:val="0F8F3081"/>
    <w:rsid w:val="0F9022FF"/>
    <w:rsid w:val="0F9F69E6"/>
    <w:rsid w:val="0FA5195F"/>
    <w:rsid w:val="0FAD4701"/>
    <w:rsid w:val="0FE825FD"/>
    <w:rsid w:val="0FF61E2B"/>
    <w:rsid w:val="10280789"/>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082369"/>
    <w:rsid w:val="11136BE5"/>
    <w:rsid w:val="112244C7"/>
    <w:rsid w:val="113E38BD"/>
    <w:rsid w:val="11531836"/>
    <w:rsid w:val="11633A20"/>
    <w:rsid w:val="11700B96"/>
    <w:rsid w:val="117A7D9D"/>
    <w:rsid w:val="117B6FDE"/>
    <w:rsid w:val="117D1895"/>
    <w:rsid w:val="1189681F"/>
    <w:rsid w:val="118D065E"/>
    <w:rsid w:val="118F65E6"/>
    <w:rsid w:val="119111DD"/>
    <w:rsid w:val="119D0D92"/>
    <w:rsid w:val="11B01C7F"/>
    <w:rsid w:val="11B47AAB"/>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CC7D65"/>
    <w:rsid w:val="12F466E5"/>
    <w:rsid w:val="130D010A"/>
    <w:rsid w:val="130E5DFE"/>
    <w:rsid w:val="1318492B"/>
    <w:rsid w:val="13195D86"/>
    <w:rsid w:val="133415D2"/>
    <w:rsid w:val="13390EFF"/>
    <w:rsid w:val="134659BB"/>
    <w:rsid w:val="1362355A"/>
    <w:rsid w:val="136A10B9"/>
    <w:rsid w:val="136B46BF"/>
    <w:rsid w:val="13860D94"/>
    <w:rsid w:val="138A779A"/>
    <w:rsid w:val="138D2BCA"/>
    <w:rsid w:val="139879D4"/>
    <w:rsid w:val="13A12FBB"/>
    <w:rsid w:val="13A53759"/>
    <w:rsid w:val="13C44C6D"/>
    <w:rsid w:val="13C7650B"/>
    <w:rsid w:val="13F53078"/>
    <w:rsid w:val="13FD017F"/>
    <w:rsid w:val="1400703C"/>
    <w:rsid w:val="14024E31"/>
    <w:rsid w:val="142F0857"/>
    <w:rsid w:val="1444680B"/>
    <w:rsid w:val="14473B09"/>
    <w:rsid w:val="144D6085"/>
    <w:rsid w:val="14526E7B"/>
    <w:rsid w:val="145853B5"/>
    <w:rsid w:val="147246C9"/>
    <w:rsid w:val="14834C84"/>
    <w:rsid w:val="14840D97"/>
    <w:rsid w:val="14861F22"/>
    <w:rsid w:val="148D4AEF"/>
    <w:rsid w:val="148E7868"/>
    <w:rsid w:val="14A32AD4"/>
    <w:rsid w:val="14CA62B3"/>
    <w:rsid w:val="14CF3D47"/>
    <w:rsid w:val="14D94AE9"/>
    <w:rsid w:val="14EB2AE0"/>
    <w:rsid w:val="14F50E56"/>
    <w:rsid w:val="14F7288F"/>
    <w:rsid w:val="14FC59FF"/>
    <w:rsid w:val="15063688"/>
    <w:rsid w:val="15336151"/>
    <w:rsid w:val="154C4F1A"/>
    <w:rsid w:val="15520056"/>
    <w:rsid w:val="156275CE"/>
    <w:rsid w:val="1565461D"/>
    <w:rsid w:val="157952EA"/>
    <w:rsid w:val="157B75AD"/>
    <w:rsid w:val="1585042C"/>
    <w:rsid w:val="15876E40"/>
    <w:rsid w:val="158C17BA"/>
    <w:rsid w:val="158C2DC7"/>
    <w:rsid w:val="15A718D7"/>
    <w:rsid w:val="15BF64B6"/>
    <w:rsid w:val="15D975F0"/>
    <w:rsid w:val="15EC6D9F"/>
    <w:rsid w:val="15F64207"/>
    <w:rsid w:val="15FB6C69"/>
    <w:rsid w:val="160B3752"/>
    <w:rsid w:val="161B13E4"/>
    <w:rsid w:val="1626576B"/>
    <w:rsid w:val="163F2811"/>
    <w:rsid w:val="16442095"/>
    <w:rsid w:val="164E7686"/>
    <w:rsid w:val="165322D8"/>
    <w:rsid w:val="16535142"/>
    <w:rsid w:val="165665A6"/>
    <w:rsid w:val="165C2B80"/>
    <w:rsid w:val="16630A92"/>
    <w:rsid w:val="16704820"/>
    <w:rsid w:val="167B7F56"/>
    <w:rsid w:val="16850E26"/>
    <w:rsid w:val="16893F4C"/>
    <w:rsid w:val="1699418F"/>
    <w:rsid w:val="16A22419"/>
    <w:rsid w:val="16BB08D6"/>
    <w:rsid w:val="16C33CD0"/>
    <w:rsid w:val="16C86EEE"/>
    <w:rsid w:val="16CF74AC"/>
    <w:rsid w:val="16D62899"/>
    <w:rsid w:val="16D86AD9"/>
    <w:rsid w:val="16E24DAF"/>
    <w:rsid w:val="16E478E9"/>
    <w:rsid w:val="16F21AF1"/>
    <w:rsid w:val="16F45869"/>
    <w:rsid w:val="17025136"/>
    <w:rsid w:val="17054561"/>
    <w:rsid w:val="17080CB3"/>
    <w:rsid w:val="17104E33"/>
    <w:rsid w:val="172779EC"/>
    <w:rsid w:val="172C5003"/>
    <w:rsid w:val="172F4AF3"/>
    <w:rsid w:val="17435B9A"/>
    <w:rsid w:val="17530278"/>
    <w:rsid w:val="17563E2E"/>
    <w:rsid w:val="1770488D"/>
    <w:rsid w:val="177251DB"/>
    <w:rsid w:val="179F403B"/>
    <w:rsid w:val="17B46DA6"/>
    <w:rsid w:val="17DB37CE"/>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95C4B"/>
    <w:rsid w:val="18E12DCB"/>
    <w:rsid w:val="18E33521"/>
    <w:rsid w:val="18EA6F23"/>
    <w:rsid w:val="18EB67F8"/>
    <w:rsid w:val="18FA4C8D"/>
    <w:rsid w:val="18FF7748"/>
    <w:rsid w:val="19133920"/>
    <w:rsid w:val="19296091"/>
    <w:rsid w:val="192D50D3"/>
    <w:rsid w:val="194626B7"/>
    <w:rsid w:val="19526877"/>
    <w:rsid w:val="195A5631"/>
    <w:rsid w:val="196C36C2"/>
    <w:rsid w:val="19733208"/>
    <w:rsid w:val="1978271D"/>
    <w:rsid w:val="197C38F4"/>
    <w:rsid w:val="197E7B00"/>
    <w:rsid w:val="197F5364"/>
    <w:rsid w:val="19933B34"/>
    <w:rsid w:val="19AB1103"/>
    <w:rsid w:val="19B47531"/>
    <w:rsid w:val="19C96DDB"/>
    <w:rsid w:val="19CF01B9"/>
    <w:rsid w:val="19DC46F7"/>
    <w:rsid w:val="19DE34A8"/>
    <w:rsid w:val="19E52623"/>
    <w:rsid w:val="19FA6457"/>
    <w:rsid w:val="1A0B2274"/>
    <w:rsid w:val="1A187AC0"/>
    <w:rsid w:val="1A393B90"/>
    <w:rsid w:val="1A535B25"/>
    <w:rsid w:val="1A7208D9"/>
    <w:rsid w:val="1A764FB0"/>
    <w:rsid w:val="1A767F97"/>
    <w:rsid w:val="1A8C400A"/>
    <w:rsid w:val="1A8C60A2"/>
    <w:rsid w:val="1A932C82"/>
    <w:rsid w:val="1A9609E5"/>
    <w:rsid w:val="1AA17FF5"/>
    <w:rsid w:val="1AA37850"/>
    <w:rsid w:val="1AA650CC"/>
    <w:rsid w:val="1AA864FA"/>
    <w:rsid w:val="1AB937F0"/>
    <w:rsid w:val="1AB97B24"/>
    <w:rsid w:val="1AC714F1"/>
    <w:rsid w:val="1AC90DBB"/>
    <w:rsid w:val="1AD930B1"/>
    <w:rsid w:val="1AFA71C6"/>
    <w:rsid w:val="1B103E63"/>
    <w:rsid w:val="1B267FBB"/>
    <w:rsid w:val="1B3C77DE"/>
    <w:rsid w:val="1B3E1360"/>
    <w:rsid w:val="1B453F87"/>
    <w:rsid w:val="1B4A02FA"/>
    <w:rsid w:val="1B6603B7"/>
    <w:rsid w:val="1B6D0A69"/>
    <w:rsid w:val="1B7D2468"/>
    <w:rsid w:val="1B840FD3"/>
    <w:rsid w:val="1B886580"/>
    <w:rsid w:val="1B9969DF"/>
    <w:rsid w:val="1B9A62B3"/>
    <w:rsid w:val="1BAB30F2"/>
    <w:rsid w:val="1BB64807"/>
    <w:rsid w:val="1BC30F20"/>
    <w:rsid w:val="1BC45815"/>
    <w:rsid w:val="1BCA6B98"/>
    <w:rsid w:val="1BEC2FB3"/>
    <w:rsid w:val="1BEE345E"/>
    <w:rsid w:val="1BF209FD"/>
    <w:rsid w:val="1BF530EC"/>
    <w:rsid w:val="1C044843"/>
    <w:rsid w:val="1C165429"/>
    <w:rsid w:val="1C185B56"/>
    <w:rsid w:val="1C4C7B54"/>
    <w:rsid w:val="1C6D30D8"/>
    <w:rsid w:val="1C7911F1"/>
    <w:rsid w:val="1C7B60E4"/>
    <w:rsid w:val="1CCB47C0"/>
    <w:rsid w:val="1CE27F12"/>
    <w:rsid w:val="1CF3330B"/>
    <w:rsid w:val="1D0C2883"/>
    <w:rsid w:val="1D3B1144"/>
    <w:rsid w:val="1D44297A"/>
    <w:rsid w:val="1D4E4561"/>
    <w:rsid w:val="1D594678"/>
    <w:rsid w:val="1D703128"/>
    <w:rsid w:val="1D703DF1"/>
    <w:rsid w:val="1D7C5FBA"/>
    <w:rsid w:val="1D81336E"/>
    <w:rsid w:val="1D9F19C4"/>
    <w:rsid w:val="1DA575B0"/>
    <w:rsid w:val="1DAF24EA"/>
    <w:rsid w:val="1DB375C5"/>
    <w:rsid w:val="1DB46449"/>
    <w:rsid w:val="1DBC69B5"/>
    <w:rsid w:val="1DC332DD"/>
    <w:rsid w:val="1DDB0E18"/>
    <w:rsid w:val="1DE80C95"/>
    <w:rsid w:val="1E061E25"/>
    <w:rsid w:val="1E226345"/>
    <w:rsid w:val="1E37428D"/>
    <w:rsid w:val="1E3A6C06"/>
    <w:rsid w:val="1E424E8A"/>
    <w:rsid w:val="1E4B7F4E"/>
    <w:rsid w:val="1E736290"/>
    <w:rsid w:val="1E8C6387"/>
    <w:rsid w:val="1E9A6CF6"/>
    <w:rsid w:val="1EB06519"/>
    <w:rsid w:val="1EB458DE"/>
    <w:rsid w:val="1EB61656"/>
    <w:rsid w:val="1EC00497"/>
    <w:rsid w:val="1EDA5344"/>
    <w:rsid w:val="1EE613D0"/>
    <w:rsid w:val="1EE833D9"/>
    <w:rsid w:val="1EF1268E"/>
    <w:rsid w:val="1EF21855"/>
    <w:rsid w:val="1EF501D6"/>
    <w:rsid w:val="1F1830CB"/>
    <w:rsid w:val="1F1D4CEA"/>
    <w:rsid w:val="1F3431EF"/>
    <w:rsid w:val="1F3A4035"/>
    <w:rsid w:val="1F412ACD"/>
    <w:rsid w:val="1F536EA5"/>
    <w:rsid w:val="1F896D6A"/>
    <w:rsid w:val="1FA51C58"/>
    <w:rsid w:val="1FA7649E"/>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961FA"/>
    <w:rsid w:val="2114734D"/>
    <w:rsid w:val="211A14D6"/>
    <w:rsid w:val="211F34E2"/>
    <w:rsid w:val="21564CC5"/>
    <w:rsid w:val="21725E20"/>
    <w:rsid w:val="217F21D3"/>
    <w:rsid w:val="21894835"/>
    <w:rsid w:val="219F6403"/>
    <w:rsid w:val="21A148C9"/>
    <w:rsid w:val="21A84B20"/>
    <w:rsid w:val="21D06ED2"/>
    <w:rsid w:val="21D547D9"/>
    <w:rsid w:val="21E36C06"/>
    <w:rsid w:val="21F841CB"/>
    <w:rsid w:val="22094970"/>
    <w:rsid w:val="221768AF"/>
    <w:rsid w:val="2224426F"/>
    <w:rsid w:val="224C10D0"/>
    <w:rsid w:val="225222AD"/>
    <w:rsid w:val="22541289"/>
    <w:rsid w:val="22560474"/>
    <w:rsid w:val="225C24EF"/>
    <w:rsid w:val="226433E0"/>
    <w:rsid w:val="2268322E"/>
    <w:rsid w:val="22685BE4"/>
    <w:rsid w:val="226D64CF"/>
    <w:rsid w:val="22786DC6"/>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A418A2"/>
    <w:rsid w:val="23AE1EA3"/>
    <w:rsid w:val="23C2284B"/>
    <w:rsid w:val="23D11B74"/>
    <w:rsid w:val="23D5432C"/>
    <w:rsid w:val="23EE71CC"/>
    <w:rsid w:val="2404346B"/>
    <w:rsid w:val="24172B97"/>
    <w:rsid w:val="24292475"/>
    <w:rsid w:val="242977C5"/>
    <w:rsid w:val="24351601"/>
    <w:rsid w:val="24375486"/>
    <w:rsid w:val="24390A60"/>
    <w:rsid w:val="243E33BC"/>
    <w:rsid w:val="244B0A92"/>
    <w:rsid w:val="246F7026"/>
    <w:rsid w:val="24833D88"/>
    <w:rsid w:val="2495534F"/>
    <w:rsid w:val="24A773D3"/>
    <w:rsid w:val="24B65FDB"/>
    <w:rsid w:val="24DB6D9D"/>
    <w:rsid w:val="24F904EE"/>
    <w:rsid w:val="25096983"/>
    <w:rsid w:val="250E3F9A"/>
    <w:rsid w:val="25237319"/>
    <w:rsid w:val="25276E09"/>
    <w:rsid w:val="253311F6"/>
    <w:rsid w:val="253B3193"/>
    <w:rsid w:val="25552E9E"/>
    <w:rsid w:val="255866F6"/>
    <w:rsid w:val="25654FC9"/>
    <w:rsid w:val="25781413"/>
    <w:rsid w:val="25851E17"/>
    <w:rsid w:val="2586379D"/>
    <w:rsid w:val="25DF1492"/>
    <w:rsid w:val="25EB1207"/>
    <w:rsid w:val="25EF3DCB"/>
    <w:rsid w:val="25F25669"/>
    <w:rsid w:val="25F723E2"/>
    <w:rsid w:val="25FF38E2"/>
    <w:rsid w:val="26377520"/>
    <w:rsid w:val="263C274B"/>
    <w:rsid w:val="26487037"/>
    <w:rsid w:val="264B7744"/>
    <w:rsid w:val="2651082C"/>
    <w:rsid w:val="267608EC"/>
    <w:rsid w:val="267E7EE2"/>
    <w:rsid w:val="268D5392"/>
    <w:rsid w:val="26A804CA"/>
    <w:rsid w:val="26C66AA9"/>
    <w:rsid w:val="26DD1E76"/>
    <w:rsid w:val="26F64CE5"/>
    <w:rsid w:val="26F87EF2"/>
    <w:rsid w:val="271703C5"/>
    <w:rsid w:val="27351CB2"/>
    <w:rsid w:val="27361586"/>
    <w:rsid w:val="27383550"/>
    <w:rsid w:val="276C4FA7"/>
    <w:rsid w:val="277D1B2D"/>
    <w:rsid w:val="27835FFC"/>
    <w:rsid w:val="2794279E"/>
    <w:rsid w:val="279E7050"/>
    <w:rsid w:val="27A466B8"/>
    <w:rsid w:val="27AF6D80"/>
    <w:rsid w:val="27B0198F"/>
    <w:rsid w:val="27B92AB7"/>
    <w:rsid w:val="27CC1EEA"/>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23E15"/>
    <w:rsid w:val="290B259E"/>
    <w:rsid w:val="291D0C4F"/>
    <w:rsid w:val="2924258A"/>
    <w:rsid w:val="29274E04"/>
    <w:rsid w:val="293F46A3"/>
    <w:rsid w:val="294361DC"/>
    <w:rsid w:val="29516F20"/>
    <w:rsid w:val="296879F1"/>
    <w:rsid w:val="296D1EE4"/>
    <w:rsid w:val="29934A6D"/>
    <w:rsid w:val="29944EB8"/>
    <w:rsid w:val="299C4433"/>
    <w:rsid w:val="29C57C77"/>
    <w:rsid w:val="29CE346A"/>
    <w:rsid w:val="29DB4666"/>
    <w:rsid w:val="29E4351B"/>
    <w:rsid w:val="29E736D3"/>
    <w:rsid w:val="29EC0622"/>
    <w:rsid w:val="29FB1FE8"/>
    <w:rsid w:val="29FE68AE"/>
    <w:rsid w:val="2A031B89"/>
    <w:rsid w:val="2A070C32"/>
    <w:rsid w:val="2A0B0AA8"/>
    <w:rsid w:val="2A32072A"/>
    <w:rsid w:val="2A3C5105"/>
    <w:rsid w:val="2A4234AE"/>
    <w:rsid w:val="2A491993"/>
    <w:rsid w:val="2A567D20"/>
    <w:rsid w:val="2A6F4131"/>
    <w:rsid w:val="2A821832"/>
    <w:rsid w:val="2AA77572"/>
    <w:rsid w:val="2ABC3312"/>
    <w:rsid w:val="2AC50660"/>
    <w:rsid w:val="2ACE42A1"/>
    <w:rsid w:val="2AD156A5"/>
    <w:rsid w:val="2AD73080"/>
    <w:rsid w:val="2AE44BDB"/>
    <w:rsid w:val="2AFA0B1C"/>
    <w:rsid w:val="2B1334DC"/>
    <w:rsid w:val="2B1505A0"/>
    <w:rsid w:val="2B165951"/>
    <w:rsid w:val="2B165956"/>
    <w:rsid w:val="2B214434"/>
    <w:rsid w:val="2B230073"/>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271DE5"/>
    <w:rsid w:val="2C3B319A"/>
    <w:rsid w:val="2C3C1A6A"/>
    <w:rsid w:val="2C540D91"/>
    <w:rsid w:val="2C6537E2"/>
    <w:rsid w:val="2C6C7279"/>
    <w:rsid w:val="2C8965FC"/>
    <w:rsid w:val="2C903C46"/>
    <w:rsid w:val="2CA14AE9"/>
    <w:rsid w:val="2CA20B39"/>
    <w:rsid w:val="2CA90A4C"/>
    <w:rsid w:val="2CAB6572"/>
    <w:rsid w:val="2CAC2D20"/>
    <w:rsid w:val="2CC10625"/>
    <w:rsid w:val="2CC47634"/>
    <w:rsid w:val="2CD326FB"/>
    <w:rsid w:val="2CD33D72"/>
    <w:rsid w:val="2CD57196"/>
    <w:rsid w:val="2CDD2170"/>
    <w:rsid w:val="2CEA7FC6"/>
    <w:rsid w:val="2CF220D0"/>
    <w:rsid w:val="2D032370"/>
    <w:rsid w:val="2D056154"/>
    <w:rsid w:val="2D067C4C"/>
    <w:rsid w:val="2D094BEA"/>
    <w:rsid w:val="2D236108"/>
    <w:rsid w:val="2D285E15"/>
    <w:rsid w:val="2D2A52C6"/>
    <w:rsid w:val="2D4D7629"/>
    <w:rsid w:val="2D8A43D9"/>
    <w:rsid w:val="2D8F1DD6"/>
    <w:rsid w:val="2D915A33"/>
    <w:rsid w:val="2D954534"/>
    <w:rsid w:val="2D9800A5"/>
    <w:rsid w:val="2DB33930"/>
    <w:rsid w:val="2DB80F46"/>
    <w:rsid w:val="2DC3712A"/>
    <w:rsid w:val="2DE171DF"/>
    <w:rsid w:val="2DEF1551"/>
    <w:rsid w:val="2DF82442"/>
    <w:rsid w:val="2E0200C9"/>
    <w:rsid w:val="2E3C6ABB"/>
    <w:rsid w:val="2E4345B4"/>
    <w:rsid w:val="2E5A3DAC"/>
    <w:rsid w:val="2E5D53FD"/>
    <w:rsid w:val="2E61599C"/>
    <w:rsid w:val="2E6332CF"/>
    <w:rsid w:val="2E700C2F"/>
    <w:rsid w:val="2EA63495"/>
    <w:rsid w:val="2EB37960"/>
    <w:rsid w:val="2EBA0298"/>
    <w:rsid w:val="2EBF09B3"/>
    <w:rsid w:val="2ED22F7C"/>
    <w:rsid w:val="2ED73784"/>
    <w:rsid w:val="2EDF3673"/>
    <w:rsid w:val="2EE213C2"/>
    <w:rsid w:val="2EFC30B5"/>
    <w:rsid w:val="2F486989"/>
    <w:rsid w:val="2F503401"/>
    <w:rsid w:val="2F653004"/>
    <w:rsid w:val="2F684953"/>
    <w:rsid w:val="2F8135BA"/>
    <w:rsid w:val="2F866E22"/>
    <w:rsid w:val="2F8D622E"/>
    <w:rsid w:val="2F9037FD"/>
    <w:rsid w:val="2F917CA1"/>
    <w:rsid w:val="2F982E42"/>
    <w:rsid w:val="2FCB7EDC"/>
    <w:rsid w:val="2FCC6F2B"/>
    <w:rsid w:val="2FD951A4"/>
    <w:rsid w:val="2FE60F0B"/>
    <w:rsid w:val="2FFE3400"/>
    <w:rsid w:val="300F6E18"/>
    <w:rsid w:val="301B0290"/>
    <w:rsid w:val="303C4D07"/>
    <w:rsid w:val="304C3BC8"/>
    <w:rsid w:val="30647164"/>
    <w:rsid w:val="306C3ED5"/>
    <w:rsid w:val="306C6C6A"/>
    <w:rsid w:val="306D3F93"/>
    <w:rsid w:val="30711C4D"/>
    <w:rsid w:val="308A649E"/>
    <w:rsid w:val="308E5A68"/>
    <w:rsid w:val="309F63EE"/>
    <w:rsid w:val="30A2226B"/>
    <w:rsid w:val="30BB2AFC"/>
    <w:rsid w:val="30C22649"/>
    <w:rsid w:val="30D2231F"/>
    <w:rsid w:val="30DC08E6"/>
    <w:rsid w:val="30E97669"/>
    <w:rsid w:val="31165AA4"/>
    <w:rsid w:val="31172428"/>
    <w:rsid w:val="312E022B"/>
    <w:rsid w:val="314221E6"/>
    <w:rsid w:val="314A45AB"/>
    <w:rsid w:val="314D7BF8"/>
    <w:rsid w:val="31534D0D"/>
    <w:rsid w:val="317118EE"/>
    <w:rsid w:val="318555E4"/>
    <w:rsid w:val="318A3760"/>
    <w:rsid w:val="318F0210"/>
    <w:rsid w:val="31C84C92"/>
    <w:rsid w:val="31D163B5"/>
    <w:rsid w:val="31D976DD"/>
    <w:rsid w:val="31DE4220"/>
    <w:rsid w:val="31EF6F01"/>
    <w:rsid w:val="3201528F"/>
    <w:rsid w:val="3201689A"/>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24DE5"/>
    <w:rsid w:val="33171483"/>
    <w:rsid w:val="332C4891"/>
    <w:rsid w:val="332E38A7"/>
    <w:rsid w:val="332F3D9F"/>
    <w:rsid w:val="33380434"/>
    <w:rsid w:val="334703EE"/>
    <w:rsid w:val="33574D5E"/>
    <w:rsid w:val="335E1849"/>
    <w:rsid w:val="335F4F26"/>
    <w:rsid w:val="33625BED"/>
    <w:rsid w:val="337F6063"/>
    <w:rsid w:val="3380392C"/>
    <w:rsid w:val="3381627F"/>
    <w:rsid w:val="33866BAC"/>
    <w:rsid w:val="33977850"/>
    <w:rsid w:val="33A37FA3"/>
    <w:rsid w:val="33B73A4E"/>
    <w:rsid w:val="33B946F2"/>
    <w:rsid w:val="33B95A18"/>
    <w:rsid w:val="33D4718D"/>
    <w:rsid w:val="33E54418"/>
    <w:rsid w:val="33F07509"/>
    <w:rsid w:val="33F627C9"/>
    <w:rsid w:val="341A5E10"/>
    <w:rsid w:val="341A6C02"/>
    <w:rsid w:val="34272982"/>
    <w:rsid w:val="342804A8"/>
    <w:rsid w:val="342A2472"/>
    <w:rsid w:val="343C7EFD"/>
    <w:rsid w:val="34472085"/>
    <w:rsid w:val="34474E14"/>
    <w:rsid w:val="34572B3B"/>
    <w:rsid w:val="3474193F"/>
    <w:rsid w:val="347A4AA6"/>
    <w:rsid w:val="34BA5036"/>
    <w:rsid w:val="34BC5AFA"/>
    <w:rsid w:val="34D337DA"/>
    <w:rsid w:val="34D6600F"/>
    <w:rsid w:val="34EE34A0"/>
    <w:rsid w:val="34FA7F15"/>
    <w:rsid w:val="34FB24F0"/>
    <w:rsid w:val="352930DB"/>
    <w:rsid w:val="353A0493"/>
    <w:rsid w:val="353B59DD"/>
    <w:rsid w:val="35534E88"/>
    <w:rsid w:val="35633752"/>
    <w:rsid w:val="3569521C"/>
    <w:rsid w:val="35823489"/>
    <w:rsid w:val="358828AF"/>
    <w:rsid w:val="35897E8C"/>
    <w:rsid w:val="35953A4C"/>
    <w:rsid w:val="35A36B23"/>
    <w:rsid w:val="35A66D4C"/>
    <w:rsid w:val="35AE2C2F"/>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2B09DB"/>
    <w:rsid w:val="373C4996"/>
    <w:rsid w:val="3748158D"/>
    <w:rsid w:val="374A1E98"/>
    <w:rsid w:val="37533C0B"/>
    <w:rsid w:val="375F68D7"/>
    <w:rsid w:val="37794D4F"/>
    <w:rsid w:val="37A02925"/>
    <w:rsid w:val="37B3277F"/>
    <w:rsid w:val="37B34CA4"/>
    <w:rsid w:val="37BD7469"/>
    <w:rsid w:val="37C17B69"/>
    <w:rsid w:val="37D9327F"/>
    <w:rsid w:val="37E172EC"/>
    <w:rsid w:val="37E93A81"/>
    <w:rsid w:val="37F75EE1"/>
    <w:rsid w:val="38172D0E"/>
    <w:rsid w:val="38317A04"/>
    <w:rsid w:val="38430BE0"/>
    <w:rsid w:val="384B5B0E"/>
    <w:rsid w:val="38523D46"/>
    <w:rsid w:val="38591578"/>
    <w:rsid w:val="385B0E4C"/>
    <w:rsid w:val="385C66C2"/>
    <w:rsid w:val="38645F08"/>
    <w:rsid w:val="38697E97"/>
    <w:rsid w:val="387168C2"/>
    <w:rsid w:val="38832151"/>
    <w:rsid w:val="3888121E"/>
    <w:rsid w:val="38966328"/>
    <w:rsid w:val="38997BC6"/>
    <w:rsid w:val="389B1BDF"/>
    <w:rsid w:val="38A1659F"/>
    <w:rsid w:val="38AF2F46"/>
    <w:rsid w:val="38B8629F"/>
    <w:rsid w:val="38BB18EB"/>
    <w:rsid w:val="38C95821"/>
    <w:rsid w:val="38F02478"/>
    <w:rsid w:val="390239BE"/>
    <w:rsid w:val="39180C1C"/>
    <w:rsid w:val="392A1B36"/>
    <w:rsid w:val="392A34F7"/>
    <w:rsid w:val="392A4E38"/>
    <w:rsid w:val="393A6E69"/>
    <w:rsid w:val="39675500"/>
    <w:rsid w:val="396B1563"/>
    <w:rsid w:val="39754190"/>
    <w:rsid w:val="39BF57BB"/>
    <w:rsid w:val="39CD2DB0"/>
    <w:rsid w:val="39D92970"/>
    <w:rsid w:val="39FE7012"/>
    <w:rsid w:val="3A0D5454"/>
    <w:rsid w:val="3A0E6896"/>
    <w:rsid w:val="3A1172F4"/>
    <w:rsid w:val="3A23599A"/>
    <w:rsid w:val="3A255086"/>
    <w:rsid w:val="3A2E4C8D"/>
    <w:rsid w:val="3A35147E"/>
    <w:rsid w:val="3A446EBF"/>
    <w:rsid w:val="3A4B4EF0"/>
    <w:rsid w:val="3A4E0752"/>
    <w:rsid w:val="3A514258"/>
    <w:rsid w:val="3A6802CC"/>
    <w:rsid w:val="3A684F47"/>
    <w:rsid w:val="3A6A4A9F"/>
    <w:rsid w:val="3A7D77A0"/>
    <w:rsid w:val="3A810023"/>
    <w:rsid w:val="3A860F49"/>
    <w:rsid w:val="3AA1177A"/>
    <w:rsid w:val="3ABC194A"/>
    <w:rsid w:val="3AC86541"/>
    <w:rsid w:val="3AC95CCD"/>
    <w:rsid w:val="3AF37A62"/>
    <w:rsid w:val="3AF61300"/>
    <w:rsid w:val="3AF80A8B"/>
    <w:rsid w:val="3AFB6916"/>
    <w:rsid w:val="3AFD73E8"/>
    <w:rsid w:val="3B381919"/>
    <w:rsid w:val="3B437E53"/>
    <w:rsid w:val="3B506C62"/>
    <w:rsid w:val="3B615DAA"/>
    <w:rsid w:val="3B944458"/>
    <w:rsid w:val="3B954675"/>
    <w:rsid w:val="3B9823B7"/>
    <w:rsid w:val="3BAF7463"/>
    <w:rsid w:val="3BB271C7"/>
    <w:rsid w:val="3BB439AE"/>
    <w:rsid w:val="3BB557AB"/>
    <w:rsid w:val="3BBF5B96"/>
    <w:rsid w:val="3BC744EA"/>
    <w:rsid w:val="3BD60968"/>
    <w:rsid w:val="3BE92C13"/>
    <w:rsid w:val="3C065573"/>
    <w:rsid w:val="3C4414D2"/>
    <w:rsid w:val="3C595B04"/>
    <w:rsid w:val="3C5C17D2"/>
    <w:rsid w:val="3C5F42F8"/>
    <w:rsid w:val="3C6C0F9B"/>
    <w:rsid w:val="3C7301F1"/>
    <w:rsid w:val="3C7356FA"/>
    <w:rsid w:val="3CA1704A"/>
    <w:rsid w:val="3CD4741F"/>
    <w:rsid w:val="3CFB3A43"/>
    <w:rsid w:val="3CFB661F"/>
    <w:rsid w:val="3D0B626C"/>
    <w:rsid w:val="3D0F4D1C"/>
    <w:rsid w:val="3D1B6DFC"/>
    <w:rsid w:val="3D2F0AF9"/>
    <w:rsid w:val="3D487A50"/>
    <w:rsid w:val="3D5139EC"/>
    <w:rsid w:val="3D580050"/>
    <w:rsid w:val="3D7A6218"/>
    <w:rsid w:val="3D8552FA"/>
    <w:rsid w:val="3D884A3C"/>
    <w:rsid w:val="3D8C367A"/>
    <w:rsid w:val="3DB039E8"/>
    <w:rsid w:val="3DBB413B"/>
    <w:rsid w:val="3DCF2188"/>
    <w:rsid w:val="3DD1570D"/>
    <w:rsid w:val="3DDE7492"/>
    <w:rsid w:val="3DF2026B"/>
    <w:rsid w:val="3DF80EEB"/>
    <w:rsid w:val="3DFA1107"/>
    <w:rsid w:val="3DFF04CC"/>
    <w:rsid w:val="3E0C4997"/>
    <w:rsid w:val="3E24689A"/>
    <w:rsid w:val="3E3E7246"/>
    <w:rsid w:val="3E557A55"/>
    <w:rsid w:val="3E5D2794"/>
    <w:rsid w:val="3E8134BC"/>
    <w:rsid w:val="3E864749"/>
    <w:rsid w:val="3E8D1F7B"/>
    <w:rsid w:val="3E9073D3"/>
    <w:rsid w:val="3EAC582F"/>
    <w:rsid w:val="3EC80F65"/>
    <w:rsid w:val="3ED35D96"/>
    <w:rsid w:val="3EE0310F"/>
    <w:rsid w:val="3F21764F"/>
    <w:rsid w:val="3F270382"/>
    <w:rsid w:val="3F4D34B9"/>
    <w:rsid w:val="3F5C61BC"/>
    <w:rsid w:val="3F821E5A"/>
    <w:rsid w:val="3F826617"/>
    <w:rsid w:val="3F882148"/>
    <w:rsid w:val="3F9115F7"/>
    <w:rsid w:val="3F9A6B8B"/>
    <w:rsid w:val="3FAD5B09"/>
    <w:rsid w:val="3FAF5707"/>
    <w:rsid w:val="3FB253FB"/>
    <w:rsid w:val="3FD61700"/>
    <w:rsid w:val="3FD85683"/>
    <w:rsid w:val="3FDB0AC5"/>
    <w:rsid w:val="3FFF6096"/>
    <w:rsid w:val="40044B90"/>
    <w:rsid w:val="400973E0"/>
    <w:rsid w:val="40153FD6"/>
    <w:rsid w:val="402042D4"/>
    <w:rsid w:val="40273D0A"/>
    <w:rsid w:val="40310071"/>
    <w:rsid w:val="4045485F"/>
    <w:rsid w:val="40616336"/>
    <w:rsid w:val="406D3E12"/>
    <w:rsid w:val="40A01D3A"/>
    <w:rsid w:val="40A9399A"/>
    <w:rsid w:val="40C652D1"/>
    <w:rsid w:val="40C92CD2"/>
    <w:rsid w:val="40EE1315"/>
    <w:rsid w:val="410B7187"/>
    <w:rsid w:val="411249BA"/>
    <w:rsid w:val="414172BF"/>
    <w:rsid w:val="416A190F"/>
    <w:rsid w:val="416E7E42"/>
    <w:rsid w:val="418770B8"/>
    <w:rsid w:val="41B6712E"/>
    <w:rsid w:val="41BA6A45"/>
    <w:rsid w:val="41BF069E"/>
    <w:rsid w:val="41C37A62"/>
    <w:rsid w:val="41C85859"/>
    <w:rsid w:val="41CA339C"/>
    <w:rsid w:val="41D103D1"/>
    <w:rsid w:val="41D758D6"/>
    <w:rsid w:val="41DF2F7B"/>
    <w:rsid w:val="41F63994"/>
    <w:rsid w:val="41F7515B"/>
    <w:rsid w:val="42277327"/>
    <w:rsid w:val="422F448D"/>
    <w:rsid w:val="42312C1E"/>
    <w:rsid w:val="42366258"/>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00F6E"/>
    <w:rsid w:val="43040332"/>
    <w:rsid w:val="430F518E"/>
    <w:rsid w:val="43152860"/>
    <w:rsid w:val="431762B8"/>
    <w:rsid w:val="431A4176"/>
    <w:rsid w:val="431B17D2"/>
    <w:rsid w:val="43452E25"/>
    <w:rsid w:val="434A043B"/>
    <w:rsid w:val="43545C34"/>
    <w:rsid w:val="43560B8E"/>
    <w:rsid w:val="43607C5E"/>
    <w:rsid w:val="43772A58"/>
    <w:rsid w:val="4383394D"/>
    <w:rsid w:val="438761B4"/>
    <w:rsid w:val="4389474A"/>
    <w:rsid w:val="43923B90"/>
    <w:rsid w:val="43A24383"/>
    <w:rsid w:val="43A4707C"/>
    <w:rsid w:val="43D67B4D"/>
    <w:rsid w:val="43DF0926"/>
    <w:rsid w:val="43F15324"/>
    <w:rsid w:val="440B706C"/>
    <w:rsid w:val="44110F59"/>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C5765"/>
    <w:rsid w:val="44FE1514"/>
    <w:rsid w:val="451008C2"/>
    <w:rsid w:val="451277B0"/>
    <w:rsid w:val="45246F22"/>
    <w:rsid w:val="452470E5"/>
    <w:rsid w:val="45280308"/>
    <w:rsid w:val="452E1696"/>
    <w:rsid w:val="45435142"/>
    <w:rsid w:val="45464C32"/>
    <w:rsid w:val="45492AC0"/>
    <w:rsid w:val="45513D03"/>
    <w:rsid w:val="456357E4"/>
    <w:rsid w:val="45675331"/>
    <w:rsid w:val="458021A9"/>
    <w:rsid w:val="45834749"/>
    <w:rsid w:val="458D7ACD"/>
    <w:rsid w:val="45AB63C3"/>
    <w:rsid w:val="45B54DC3"/>
    <w:rsid w:val="45D73ADC"/>
    <w:rsid w:val="45D93CF8"/>
    <w:rsid w:val="45E613C6"/>
    <w:rsid w:val="45ED3300"/>
    <w:rsid w:val="45EF2B17"/>
    <w:rsid w:val="45F20395"/>
    <w:rsid w:val="45FE72BB"/>
    <w:rsid w:val="45FE7CC8"/>
    <w:rsid w:val="46053A9B"/>
    <w:rsid w:val="46121C64"/>
    <w:rsid w:val="46162856"/>
    <w:rsid w:val="46226EB0"/>
    <w:rsid w:val="4658671E"/>
    <w:rsid w:val="465C2A22"/>
    <w:rsid w:val="466E205D"/>
    <w:rsid w:val="467911B3"/>
    <w:rsid w:val="46812B8D"/>
    <w:rsid w:val="46832413"/>
    <w:rsid w:val="46885E2A"/>
    <w:rsid w:val="469F2601"/>
    <w:rsid w:val="46A82FBF"/>
    <w:rsid w:val="46AB40C3"/>
    <w:rsid w:val="46BA58D8"/>
    <w:rsid w:val="46C439A8"/>
    <w:rsid w:val="46CE7995"/>
    <w:rsid w:val="46D7323F"/>
    <w:rsid w:val="46E0501A"/>
    <w:rsid w:val="46FC1214"/>
    <w:rsid w:val="47021DBA"/>
    <w:rsid w:val="471F2FD5"/>
    <w:rsid w:val="4723522B"/>
    <w:rsid w:val="47290367"/>
    <w:rsid w:val="4739206F"/>
    <w:rsid w:val="475D3DAD"/>
    <w:rsid w:val="477E6905"/>
    <w:rsid w:val="479A3013"/>
    <w:rsid w:val="479C5383"/>
    <w:rsid w:val="479F646B"/>
    <w:rsid w:val="47A56FB4"/>
    <w:rsid w:val="47AD7CF1"/>
    <w:rsid w:val="47D135CB"/>
    <w:rsid w:val="47D67F88"/>
    <w:rsid w:val="47F54AA9"/>
    <w:rsid w:val="4803505C"/>
    <w:rsid w:val="480831B5"/>
    <w:rsid w:val="480D66CD"/>
    <w:rsid w:val="480F105A"/>
    <w:rsid w:val="48194880"/>
    <w:rsid w:val="482849BA"/>
    <w:rsid w:val="483D056E"/>
    <w:rsid w:val="483F2BC9"/>
    <w:rsid w:val="485A1120"/>
    <w:rsid w:val="48A7549C"/>
    <w:rsid w:val="48B545A9"/>
    <w:rsid w:val="48BA15B1"/>
    <w:rsid w:val="48BE3AE4"/>
    <w:rsid w:val="48C742DC"/>
    <w:rsid w:val="48D273AC"/>
    <w:rsid w:val="48D76D49"/>
    <w:rsid w:val="48E97759"/>
    <w:rsid w:val="491F1E48"/>
    <w:rsid w:val="49337978"/>
    <w:rsid w:val="49337FA9"/>
    <w:rsid w:val="495D26EB"/>
    <w:rsid w:val="49600707"/>
    <w:rsid w:val="49656EDC"/>
    <w:rsid w:val="49793828"/>
    <w:rsid w:val="4987138C"/>
    <w:rsid w:val="49883A6B"/>
    <w:rsid w:val="49B91793"/>
    <w:rsid w:val="49C37596"/>
    <w:rsid w:val="49CF169A"/>
    <w:rsid w:val="49D348F2"/>
    <w:rsid w:val="49E204D8"/>
    <w:rsid w:val="49FA66B9"/>
    <w:rsid w:val="4A003601"/>
    <w:rsid w:val="4A0D3F70"/>
    <w:rsid w:val="4A103FF4"/>
    <w:rsid w:val="4A1277D9"/>
    <w:rsid w:val="4A5D0A54"/>
    <w:rsid w:val="4A666565"/>
    <w:rsid w:val="4A7B66E4"/>
    <w:rsid w:val="4A7D5113"/>
    <w:rsid w:val="4A7F4FCB"/>
    <w:rsid w:val="4A812A30"/>
    <w:rsid w:val="4A89523C"/>
    <w:rsid w:val="4A8F0E29"/>
    <w:rsid w:val="4A914BA1"/>
    <w:rsid w:val="4AB019AF"/>
    <w:rsid w:val="4AC54E91"/>
    <w:rsid w:val="4AD5154D"/>
    <w:rsid w:val="4AEA3364"/>
    <w:rsid w:val="4AF73617"/>
    <w:rsid w:val="4B0233A9"/>
    <w:rsid w:val="4B0B6702"/>
    <w:rsid w:val="4B101F6A"/>
    <w:rsid w:val="4B481704"/>
    <w:rsid w:val="4B593BC4"/>
    <w:rsid w:val="4B697AAE"/>
    <w:rsid w:val="4B6A463C"/>
    <w:rsid w:val="4B902FB1"/>
    <w:rsid w:val="4B92472D"/>
    <w:rsid w:val="4B9E0E3F"/>
    <w:rsid w:val="4BAC5766"/>
    <w:rsid w:val="4BB63B5B"/>
    <w:rsid w:val="4BB9615E"/>
    <w:rsid w:val="4BCC283D"/>
    <w:rsid w:val="4BD35E6D"/>
    <w:rsid w:val="4BDC1E4C"/>
    <w:rsid w:val="4BE1231B"/>
    <w:rsid w:val="4BFF5353"/>
    <w:rsid w:val="4C1F6EFC"/>
    <w:rsid w:val="4C2F265F"/>
    <w:rsid w:val="4C5B5DF1"/>
    <w:rsid w:val="4C6D6DCE"/>
    <w:rsid w:val="4C752052"/>
    <w:rsid w:val="4C7D3694"/>
    <w:rsid w:val="4C9F27AB"/>
    <w:rsid w:val="4CB84667"/>
    <w:rsid w:val="4CBD4A44"/>
    <w:rsid w:val="4CD40D75"/>
    <w:rsid w:val="4CDE3815"/>
    <w:rsid w:val="4D012DED"/>
    <w:rsid w:val="4D0D2958"/>
    <w:rsid w:val="4D145493"/>
    <w:rsid w:val="4D2D4855"/>
    <w:rsid w:val="4D382097"/>
    <w:rsid w:val="4D393332"/>
    <w:rsid w:val="4D3B01A7"/>
    <w:rsid w:val="4D4746C5"/>
    <w:rsid w:val="4D4D1254"/>
    <w:rsid w:val="4D5A74CD"/>
    <w:rsid w:val="4D635888"/>
    <w:rsid w:val="4D6759FB"/>
    <w:rsid w:val="4D6E3517"/>
    <w:rsid w:val="4DB639B0"/>
    <w:rsid w:val="4DB7491F"/>
    <w:rsid w:val="4DBD39A1"/>
    <w:rsid w:val="4DD23507"/>
    <w:rsid w:val="4DDF5C24"/>
    <w:rsid w:val="4DE70682"/>
    <w:rsid w:val="4DF53699"/>
    <w:rsid w:val="4DFD50C1"/>
    <w:rsid w:val="4E21623C"/>
    <w:rsid w:val="4E2B70BB"/>
    <w:rsid w:val="4E4645AE"/>
    <w:rsid w:val="4E496865"/>
    <w:rsid w:val="4E58321E"/>
    <w:rsid w:val="4E6B2193"/>
    <w:rsid w:val="4E9B1B4B"/>
    <w:rsid w:val="4EB91CD7"/>
    <w:rsid w:val="4EDE7C89"/>
    <w:rsid w:val="4EE72FE2"/>
    <w:rsid w:val="4EFB4EAE"/>
    <w:rsid w:val="4EFF135C"/>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1C4F0D"/>
    <w:rsid w:val="502B7CA9"/>
    <w:rsid w:val="5038679F"/>
    <w:rsid w:val="50463D38"/>
    <w:rsid w:val="5047222E"/>
    <w:rsid w:val="504B57F2"/>
    <w:rsid w:val="50670571"/>
    <w:rsid w:val="506F328F"/>
    <w:rsid w:val="50724B2D"/>
    <w:rsid w:val="508731E3"/>
    <w:rsid w:val="50964CC0"/>
    <w:rsid w:val="50A0464D"/>
    <w:rsid w:val="50B95E75"/>
    <w:rsid w:val="50C54952"/>
    <w:rsid w:val="50CA6916"/>
    <w:rsid w:val="50CD6207"/>
    <w:rsid w:val="51015649"/>
    <w:rsid w:val="51034416"/>
    <w:rsid w:val="512151F2"/>
    <w:rsid w:val="512656C9"/>
    <w:rsid w:val="5139564B"/>
    <w:rsid w:val="5156444F"/>
    <w:rsid w:val="5164091A"/>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13355C"/>
    <w:rsid w:val="521C7446"/>
    <w:rsid w:val="5224097B"/>
    <w:rsid w:val="522508B8"/>
    <w:rsid w:val="523E1BC7"/>
    <w:rsid w:val="523F6E00"/>
    <w:rsid w:val="524B22B7"/>
    <w:rsid w:val="525B5D09"/>
    <w:rsid w:val="52692D61"/>
    <w:rsid w:val="527728CF"/>
    <w:rsid w:val="528172AA"/>
    <w:rsid w:val="52B8492E"/>
    <w:rsid w:val="52CD201A"/>
    <w:rsid w:val="52D675F5"/>
    <w:rsid w:val="52DB316A"/>
    <w:rsid w:val="52DE09D4"/>
    <w:rsid w:val="52DF5523"/>
    <w:rsid w:val="52EE334D"/>
    <w:rsid w:val="530C01BA"/>
    <w:rsid w:val="530F02BC"/>
    <w:rsid w:val="53130F14"/>
    <w:rsid w:val="531C6A38"/>
    <w:rsid w:val="534972AB"/>
    <w:rsid w:val="534F55FA"/>
    <w:rsid w:val="5353518F"/>
    <w:rsid w:val="5373169B"/>
    <w:rsid w:val="53747D16"/>
    <w:rsid w:val="5378497F"/>
    <w:rsid w:val="53C6061F"/>
    <w:rsid w:val="53E544DB"/>
    <w:rsid w:val="53F046E7"/>
    <w:rsid w:val="53F82EC8"/>
    <w:rsid w:val="540B1521"/>
    <w:rsid w:val="5415227F"/>
    <w:rsid w:val="541C54DC"/>
    <w:rsid w:val="542258CB"/>
    <w:rsid w:val="542C1333"/>
    <w:rsid w:val="542D741B"/>
    <w:rsid w:val="543211F5"/>
    <w:rsid w:val="543640C4"/>
    <w:rsid w:val="544B4013"/>
    <w:rsid w:val="5456472A"/>
    <w:rsid w:val="54667951"/>
    <w:rsid w:val="548C1FAB"/>
    <w:rsid w:val="549E4143"/>
    <w:rsid w:val="54B5148C"/>
    <w:rsid w:val="54C87154"/>
    <w:rsid w:val="54E63064"/>
    <w:rsid w:val="54F41028"/>
    <w:rsid w:val="54F75F49"/>
    <w:rsid w:val="54FE72D7"/>
    <w:rsid w:val="550F5D8E"/>
    <w:rsid w:val="5519088E"/>
    <w:rsid w:val="552F326D"/>
    <w:rsid w:val="553D5D3A"/>
    <w:rsid w:val="554D7917"/>
    <w:rsid w:val="55524F2D"/>
    <w:rsid w:val="555B64D8"/>
    <w:rsid w:val="55663533"/>
    <w:rsid w:val="556F6CD4"/>
    <w:rsid w:val="558B0806"/>
    <w:rsid w:val="55944949"/>
    <w:rsid w:val="559C154A"/>
    <w:rsid w:val="55A21094"/>
    <w:rsid w:val="55B24181"/>
    <w:rsid w:val="55B96238"/>
    <w:rsid w:val="55C35EAF"/>
    <w:rsid w:val="55CD7AD8"/>
    <w:rsid w:val="55DD63E8"/>
    <w:rsid w:val="55EC11E5"/>
    <w:rsid w:val="560501F2"/>
    <w:rsid w:val="564447FE"/>
    <w:rsid w:val="56466840"/>
    <w:rsid w:val="565467A5"/>
    <w:rsid w:val="56644224"/>
    <w:rsid w:val="5666680E"/>
    <w:rsid w:val="5669634B"/>
    <w:rsid w:val="56735DD8"/>
    <w:rsid w:val="567A473C"/>
    <w:rsid w:val="5685797A"/>
    <w:rsid w:val="568C1A21"/>
    <w:rsid w:val="569F4D37"/>
    <w:rsid w:val="56AB2F3F"/>
    <w:rsid w:val="56C41E5B"/>
    <w:rsid w:val="56C42FEC"/>
    <w:rsid w:val="56EA73AE"/>
    <w:rsid w:val="56F0657B"/>
    <w:rsid w:val="56F20621"/>
    <w:rsid w:val="56F20776"/>
    <w:rsid w:val="56F37AB8"/>
    <w:rsid w:val="56FB1D20"/>
    <w:rsid w:val="56FC15F5"/>
    <w:rsid w:val="570861EB"/>
    <w:rsid w:val="57122BC6"/>
    <w:rsid w:val="572D6623"/>
    <w:rsid w:val="57364C46"/>
    <w:rsid w:val="575A47E7"/>
    <w:rsid w:val="575C02E5"/>
    <w:rsid w:val="577473DD"/>
    <w:rsid w:val="57911484"/>
    <w:rsid w:val="57A04676"/>
    <w:rsid w:val="57BE00CF"/>
    <w:rsid w:val="57C33EC0"/>
    <w:rsid w:val="57CF104F"/>
    <w:rsid w:val="57CF47C9"/>
    <w:rsid w:val="57D939CD"/>
    <w:rsid w:val="57FF0946"/>
    <w:rsid w:val="58075B26"/>
    <w:rsid w:val="580A355F"/>
    <w:rsid w:val="58127ED2"/>
    <w:rsid w:val="58172F6B"/>
    <w:rsid w:val="58281E5B"/>
    <w:rsid w:val="582C247D"/>
    <w:rsid w:val="583B614D"/>
    <w:rsid w:val="583D29A8"/>
    <w:rsid w:val="58406187"/>
    <w:rsid w:val="58537A63"/>
    <w:rsid w:val="58643CC2"/>
    <w:rsid w:val="58767185"/>
    <w:rsid w:val="588075E9"/>
    <w:rsid w:val="588C2AEC"/>
    <w:rsid w:val="58CA7BFC"/>
    <w:rsid w:val="58E83887"/>
    <w:rsid w:val="58F90DE0"/>
    <w:rsid w:val="59106321"/>
    <w:rsid w:val="59140C82"/>
    <w:rsid w:val="591A2206"/>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32AE1"/>
    <w:rsid w:val="59D654A8"/>
    <w:rsid w:val="59D80CBB"/>
    <w:rsid w:val="59F5698E"/>
    <w:rsid w:val="5A011459"/>
    <w:rsid w:val="5A013CE4"/>
    <w:rsid w:val="5A0141A4"/>
    <w:rsid w:val="5A053904"/>
    <w:rsid w:val="5A196B54"/>
    <w:rsid w:val="5A1E47AC"/>
    <w:rsid w:val="5A3D4EA7"/>
    <w:rsid w:val="5A447687"/>
    <w:rsid w:val="5A4C2893"/>
    <w:rsid w:val="5A5A55F7"/>
    <w:rsid w:val="5A603305"/>
    <w:rsid w:val="5A701838"/>
    <w:rsid w:val="5A7732C0"/>
    <w:rsid w:val="5A8156DE"/>
    <w:rsid w:val="5A9421F5"/>
    <w:rsid w:val="5ADF3707"/>
    <w:rsid w:val="5AE3249E"/>
    <w:rsid w:val="5AE56545"/>
    <w:rsid w:val="5AE92129"/>
    <w:rsid w:val="5AF102AB"/>
    <w:rsid w:val="5AF30F60"/>
    <w:rsid w:val="5B163201"/>
    <w:rsid w:val="5B1A473F"/>
    <w:rsid w:val="5B2E3D47"/>
    <w:rsid w:val="5B37709F"/>
    <w:rsid w:val="5B6149A2"/>
    <w:rsid w:val="5B636D7E"/>
    <w:rsid w:val="5B7A1772"/>
    <w:rsid w:val="5B7A6DEA"/>
    <w:rsid w:val="5B7E6A7C"/>
    <w:rsid w:val="5B8322E4"/>
    <w:rsid w:val="5BA20303"/>
    <w:rsid w:val="5BB26726"/>
    <w:rsid w:val="5BB926FC"/>
    <w:rsid w:val="5BCF1086"/>
    <w:rsid w:val="5BF54320"/>
    <w:rsid w:val="5C0C22DA"/>
    <w:rsid w:val="5C1633F6"/>
    <w:rsid w:val="5C246971"/>
    <w:rsid w:val="5C46267B"/>
    <w:rsid w:val="5C4867F4"/>
    <w:rsid w:val="5C4A1AAA"/>
    <w:rsid w:val="5C6737F1"/>
    <w:rsid w:val="5C6E585F"/>
    <w:rsid w:val="5C71038F"/>
    <w:rsid w:val="5C9C18B0"/>
    <w:rsid w:val="5C9E7970"/>
    <w:rsid w:val="5CBD1826"/>
    <w:rsid w:val="5CC37F37"/>
    <w:rsid w:val="5CDC6150"/>
    <w:rsid w:val="5CE172C2"/>
    <w:rsid w:val="5CE45005"/>
    <w:rsid w:val="5CE943C9"/>
    <w:rsid w:val="5CF96FBB"/>
    <w:rsid w:val="5CFA65D6"/>
    <w:rsid w:val="5CFD1C22"/>
    <w:rsid w:val="5D044DFB"/>
    <w:rsid w:val="5D2A3C5C"/>
    <w:rsid w:val="5D2E4206"/>
    <w:rsid w:val="5D8B5480"/>
    <w:rsid w:val="5DA21809"/>
    <w:rsid w:val="5DA56542"/>
    <w:rsid w:val="5DAB5B22"/>
    <w:rsid w:val="5DD0374A"/>
    <w:rsid w:val="5DD064FA"/>
    <w:rsid w:val="5DDA30BD"/>
    <w:rsid w:val="5DE33611"/>
    <w:rsid w:val="5DEA03F9"/>
    <w:rsid w:val="5DEB5F1F"/>
    <w:rsid w:val="5DEB608F"/>
    <w:rsid w:val="5DF179D9"/>
    <w:rsid w:val="5E023994"/>
    <w:rsid w:val="5E211941"/>
    <w:rsid w:val="5E2719AF"/>
    <w:rsid w:val="5E2A4056"/>
    <w:rsid w:val="5E2C7B5F"/>
    <w:rsid w:val="5E37388C"/>
    <w:rsid w:val="5E49652D"/>
    <w:rsid w:val="5E55621E"/>
    <w:rsid w:val="5E556A51"/>
    <w:rsid w:val="5E6C7060"/>
    <w:rsid w:val="5E7A743A"/>
    <w:rsid w:val="5EA7453C"/>
    <w:rsid w:val="5EAA7B88"/>
    <w:rsid w:val="5EAE0F71"/>
    <w:rsid w:val="5ED27BE1"/>
    <w:rsid w:val="5ED35BB4"/>
    <w:rsid w:val="5ED75612"/>
    <w:rsid w:val="5EE00B27"/>
    <w:rsid w:val="5EE65064"/>
    <w:rsid w:val="5F1F1B33"/>
    <w:rsid w:val="5F2136D8"/>
    <w:rsid w:val="5F2D0AE0"/>
    <w:rsid w:val="5F432EF8"/>
    <w:rsid w:val="5F47659C"/>
    <w:rsid w:val="5F526256"/>
    <w:rsid w:val="5F555D46"/>
    <w:rsid w:val="5F7E529D"/>
    <w:rsid w:val="5FB40CBE"/>
    <w:rsid w:val="5FC2239B"/>
    <w:rsid w:val="5FCA04E2"/>
    <w:rsid w:val="5FDF1F8A"/>
    <w:rsid w:val="5FE356A8"/>
    <w:rsid w:val="5FF40024"/>
    <w:rsid w:val="602676E1"/>
    <w:rsid w:val="602E4F74"/>
    <w:rsid w:val="603418A5"/>
    <w:rsid w:val="60366D51"/>
    <w:rsid w:val="60487659"/>
    <w:rsid w:val="604D4C6F"/>
    <w:rsid w:val="60602BF4"/>
    <w:rsid w:val="60936B26"/>
    <w:rsid w:val="60A457EB"/>
    <w:rsid w:val="60A74497"/>
    <w:rsid w:val="60B61030"/>
    <w:rsid w:val="60BE1C9B"/>
    <w:rsid w:val="60C356C4"/>
    <w:rsid w:val="60E92BEA"/>
    <w:rsid w:val="60FF41BB"/>
    <w:rsid w:val="61020C7F"/>
    <w:rsid w:val="612B3202"/>
    <w:rsid w:val="612C0D28"/>
    <w:rsid w:val="613F280A"/>
    <w:rsid w:val="61406582"/>
    <w:rsid w:val="61543299"/>
    <w:rsid w:val="61592960"/>
    <w:rsid w:val="615A5A4D"/>
    <w:rsid w:val="61706E67"/>
    <w:rsid w:val="61AC41D6"/>
    <w:rsid w:val="61D13F72"/>
    <w:rsid w:val="61D70DF9"/>
    <w:rsid w:val="61D77A00"/>
    <w:rsid w:val="61EE148D"/>
    <w:rsid w:val="62004312"/>
    <w:rsid w:val="621B3277"/>
    <w:rsid w:val="6228211F"/>
    <w:rsid w:val="6229771A"/>
    <w:rsid w:val="622A170C"/>
    <w:rsid w:val="622C555D"/>
    <w:rsid w:val="623B7475"/>
    <w:rsid w:val="624A590A"/>
    <w:rsid w:val="626478C2"/>
    <w:rsid w:val="626529F4"/>
    <w:rsid w:val="626C3AD2"/>
    <w:rsid w:val="626C4988"/>
    <w:rsid w:val="62854B94"/>
    <w:rsid w:val="62AA63A9"/>
    <w:rsid w:val="62D90A3C"/>
    <w:rsid w:val="62E224E8"/>
    <w:rsid w:val="62FE497B"/>
    <w:rsid w:val="62FE7277"/>
    <w:rsid w:val="62FF03D9"/>
    <w:rsid w:val="62FF64C2"/>
    <w:rsid w:val="630E4B89"/>
    <w:rsid w:val="63352116"/>
    <w:rsid w:val="63377DE5"/>
    <w:rsid w:val="633C769A"/>
    <w:rsid w:val="63452A53"/>
    <w:rsid w:val="635B58F5"/>
    <w:rsid w:val="637531A0"/>
    <w:rsid w:val="638E01A3"/>
    <w:rsid w:val="63966FB4"/>
    <w:rsid w:val="63973036"/>
    <w:rsid w:val="639B6291"/>
    <w:rsid w:val="639C2D33"/>
    <w:rsid w:val="63A105E6"/>
    <w:rsid w:val="63AD6150"/>
    <w:rsid w:val="63AF198D"/>
    <w:rsid w:val="63C96D02"/>
    <w:rsid w:val="63D36046"/>
    <w:rsid w:val="63D6255C"/>
    <w:rsid w:val="63E61F5F"/>
    <w:rsid w:val="63F00811"/>
    <w:rsid w:val="63F657AA"/>
    <w:rsid w:val="64061D04"/>
    <w:rsid w:val="64144421"/>
    <w:rsid w:val="64195FC9"/>
    <w:rsid w:val="643A7DF2"/>
    <w:rsid w:val="644D7933"/>
    <w:rsid w:val="645152C2"/>
    <w:rsid w:val="64607667"/>
    <w:rsid w:val="64800394"/>
    <w:rsid w:val="648814BB"/>
    <w:rsid w:val="64975171"/>
    <w:rsid w:val="64A15589"/>
    <w:rsid w:val="64A31301"/>
    <w:rsid w:val="64AA0614"/>
    <w:rsid w:val="64AB4ABB"/>
    <w:rsid w:val="64BC23C3"/>
    <w:rsid w:val="64BE5FF1"/>
    <w:rsid w:val="64C549E2"/>
    <w:rsid w:val="64D4770D"/>
    <w:rsid w:val="64E831B8"/>
    <w:rsid w:val="64EA2425"/>
    <w:rsid w:val="64F1206D"/>
    <w:rsid w:val="65031DA0"/>
    <w:rsid w:val="651346D9"/>
    <w:rsid w:val="65220A06"/>
    <w:rsid w:val="65384140"/>
    <w:rsid w:val="653A1C66"/>
    <w:rsid w:val="65426D6C"/>
    <w:rsid w:val="65540C76"/>
    <w:rsid w:val="656E7B61"/>
    <w:rsid w:val="657753A5"/>
    <w:rsid w:val="657A5833"/>
    <w:rsid w:val="65812DF0"/>
    <w:rsid w:val="65842EE1"/>
    <w:rsid w:val="659B022A"/>
    <w:rsid w:val="65A767B0"/>
    <w:rsid w:val="65AE3104"/>
    <w:rsid w:val="65B838A4"/>
    <w:rsid w:val="65C94D98"/>
    <w:rsid w:val="6602534E"/>
    <w:rsid w:val="66065FEC"/>
    <w:rsid w:val="660A5F17"/>
    <w:rsid w:val="660C7EB8"/>
    <w:rsid w:val="66332DC3"/>
    <w:rsid w:val="6639006E"/>
    <w:rsid w:val="663C7C5F"/>
    <w:rsid w:val="663F7785"/>
    <w:rsid w:val="664804B3"/>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075793"/>
    <w:rsid w:val="6717038D"/>
    <w:rsid w:val="671706D3"/>
    <w:rsid w:val="67274610"/>
    <w:rsid w:val="672F48CC"/>
    <w:rsid w:val="6730396A"/>
    <w:rsid w:val="67346B89"/>
    <w:rsid w:val="6751773B"/>
    <w:rsid w:val="67535261"/>
    <w:rsid w:val="67801EB9"/>
    <w:rsid w:val="67957627"/>
    <w:rsid w:val="67A5598E"/>
    <w:rsid w:val="67A71109"/>
    <w:rsid w:val="67C76B2D"/>
    <w:rsid w:val="67CE0D8B"/>
    <w:rsid w:val="67EE2A60"/>
    <w:rsid w:val="67F5203E"/>
    <w:rsid w:val="68036CFD"/>
    <w:rsid w:val="681A38D9"/>
    <w:rsid w:val="68324E76"/>
    <w:rsid w:val="6839795B"/>
    <w:rsid w:val="683E5252"/>
    <w:rsid w:val="68456C28"/>
    <w:rsid w:val="684C67E9"/>
    <w:rsid w:val="685118DE"/>
    <w:rsid w:val="685E101E"/>
    <w:rsid w:val="688233FF"/>
    <w:rsid w:val="68883E6D"/>
    <w:rsid w:val="68AD6BF3"/>
    <w:rsid w:val="68BA225F"/>
    <w:rsid w:val="68D56A00"/>
    <w:rsid w:val="68DA1F54"/>
    <w:rsid w:val="68EB078F"/>
    <w:rsid w:val="69280C5E"/>
    <w:rsid w:val="692D45AD"/>
    <w:rsid w:val="693A3226"/>
    <w:rsid w:val="693E4935"/>
    <w:rsid w:val="694D54E1"/>
    <w:rsid w:val="69633FD7"/>
    <w:rsid w:val="699944EC"/>
    <w:rsid w:val="69995724"/>
    <w:rsid w:val="69B47EE5"/>
    <w:rsid w:val="69C4686C"/>
    <w:rsid w:val="6A1707C7"/>
    <w:rsid w:val="6A176F2F"/>
    <w:rsid w:val="6A23687A"/>
    <w:rsid w:val="6A240036"/>
    <w:rsid w:val="6A372756"/>
    <w:rsid w:val="6A3B19C7"/>
    <w:rsid w:val="6A486BD3"/>
    <w:rsid w:val="6A4B5F33"/>
    <w:rsid w:val="6A577BBA"/>
    <w:rsid w:val="6A590439"/>
    <w:rsid w:val="6A597D4C"/>
    <w:rsid w:val="6A680FC7"/>
    <w:rsid w:val="6A880A74"/>
    <w:rsid w:val="6A942216"/>
    <w:rsid w:val="6A9B0075"/>
    <w:rsid w:val="6AC51D73"/>
    <w:rsid w:val="6AC82C33"/>
    <w:rsid w:val="6AD67F71"/>
    <w:rsid w:val="6AE213F9"/>
    <w:rsid w:val="6AE85CC0"/>
    <w:rsid w:val="6AF7771D"/>
    <w:rsid w:val="6B016B32"/>
    <w:rsid w:val="6B036F9E"/>
    <w:rsid w:val="6B311795"/>
    <w:rsid w:val="6B4D0219"/>
    <w:rsid w:val="6BA17867"/>
    <w:rsid w:val="6BA8544F"/>
    <w:rsid w:val="6BB141CE"/>
    <w:rsid w:val="6BBA58AE"/>
    <w:rsid w:val="6BBE4C73"/>
    <w:rsid w:val="6BCE1834"/>
    <w:rsid w:val="6BD45513"/>
    <w:rsid w:val="6BE24E05"/>
    <w:rsid w:val="6BEF0C80"/>
    <w:rsid w:val="6BF41DBA"/>
    <w:rsid w:val="6BF817E3"/>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CD168F"/>
    <w:rsid w:val="6CDC620B"/>
    <w:rsid w:val="6CE13277"/>
    <w:rsid w:val="6CEA6058"/>
    <w:rsid w:val="6CF92FDB"/>
    <w:rsid w:val="6D0F2115"/>
    <w:rsid w:val="6D237483"/>
    <w:rsid w:val="6D3173EA"/>
    <w:rsid w:val="6D385E21"/>
    <w:rsid w:val="6D644FAE"/>
    <w:rsid w:val="6D737889"/>
    <w:rsid w:val="6D787B59"/>
    <w:rsid w:val="6D7F4662"/>
    <w:rsid w:val="6D832E39"/>
    <w:rsid w:val="6D8A7542"/>
    <w:rsid w:val="6D916E4E"/>
    <w:rsid w:val="6DB3108B"/>
    <w:rsid w:val="6DBD5004"/>
    <w:rsid w:val="6DC63E68"/>
    <w:rsid w:val="6DCF4F15"/>
    <w:rsid w:val="6DD447A6"/>
    <w:rsid w:val="6DDB172E"/>
    <w:rsid w:val="6DEF4626"/>
    <w:rsid w:val="6DF40E20"/>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B4045"/>
    <w:rsid w:val="6FDE7692"/>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867402"/>
    <w:rsid w:val="70A64653"/>
    <w:rsid w:val="70A95654"/>
    <w:rsid w:val="70C312D3"/>
    <w:rsid w:val="70D43718"/>
    <w:rsid w:val="70E904B5"/>
    <w:rsid w:val="70F73101"/>
    <w:rsid w:val="7116172E"/>
    <w:rsid w:val="71241D10"/>
    <w:rsid w:val="712437CA"/>
    <w:rsid w:val="712D0854"/>
    <w:rsid w:val="713B389B"/>
    <w:rsid w:val="7142463B"/>
    <w:rsid w:val="714300F4"/>
    <w:rsid w:val="71910D2E"/>
    <w:rsid w:val="71AC2056"/>
    <w:rsid w:val="71C1345D"/>
    <w:rsid w:val="71CB2462"/>
    <w:rsid w:val="71D445CE"/>
    <w:rsid w:val="71DA38CD"/>
    <w:rsid w:val="71E25B41"/>
    <w:rsid w:val="71F650B9"/>
    <w:rsid w:val="720F6001"/>
    <w:rsid w:val="72473CB6"/>
    <w:rsid w:val="72686E3D"/>
    <w:rsid w:val="727A26CE"/>
    <w:rsid w:val="72902B24"/>
    <w:rsid w:val="72952BD1"/>
    <w:rsid w:val="72983176"/>
    <w:rsid w:val="72AB51FE"/>
    <w:rsid w:val="72BE2D27"/>
    <w:rsid w:val="72D92A8F"/>
    <w:rsid w:val="72DA2EC0"/>
    <w:rsid w:val="72F739A7"/>
    <w:rsid w:val="73016068"/>
    <w:rsid w:val="732B4FB5"/>
    <w:rsid w:val="73351CBE"/>
    <w:rsid w:val="73417D3F"/>
    <w:rsid w:val="73504D4A"/>
    <w:rsid w:val="73591E49"/>
    <w:rsid w:val="7363682B"/>
    <w:rsid w:val="73816CB2"/>
    <w:rsid w:val="73893830"/>
    <w:rsid w:val="73A125FD"/>
    <w:rsid w:val="73C03C7E"/>
    <w:rsid w:val="73C81640"/>
    <w:rsid w:val="73CD6A9A"/>
    <w:rsid w:val="73D70FC8"/>
    <w:rsid w:val="73DD6D17"/>
    <w:rsid w:val="73E2776E"/>
    <w:rsid w:val="73F52103"/>
    <w:rsid w:val="73FE0302"/>
    <w:rsid w:val="74022067"/>
    <w:rsid w:val="74097116"/>
    <w:rsid w:val="740A314B"/>
    <w:rsid w:val="740A4EF9"/>
    <w:rsid w:val="740A7DB8"/>
    <w:rsid w:val="740E54D1"/>
    <w:rsid w:val="741B5358"/>
    <w:rsid w:val="742170E9"/>
    <w:rsid w:val="743857C5"/>
    <w:rsid w:val="744568C7"/>
    <w:rsid w:val="745B4F58"/>
    <w:rsid w:val="746C5BB4"/>
    <w:rsid w:val="748527D2"/>
    <w:rsid w:val="74921493"/>
    <w:rsid w:val="74A509B1"/>
    <w:rsid w:val="74B01B4A"/>
    <w:rsid w:val="74B15375"/>
    <w:rsid w:val="74C4154C"/>
    <w:rsid w:val="74CA3328"/>
    <w:rsid w:val="74DF4B7F"/>
    <w:rsid w:val="74DF4EF4"/>
    <w:rsid w:val="74F02341"/>
    <w:rsid w:val="74F62CED"/>
    <w:rsid w:val="74F83595"/>
    <w:rsid w:val="75120509"/>
    <w:rsid w:val="75133BF1"/>
    <w:rsid w:val="7518727D"/>
    <w:rsid w:val="752173ED"/>
    <w:rsid w:val="75355FA6"/>
    <w:rsid w:val="75370EA5"/>
    <w:rsid w:val="7538094B"/>
    <w:rsid w:val="75385A96"/>
    <w:rsid w:val="754730F9"/>
    <w:rsid w:val="754937FF"/>
    <w:rsid w:val="75502B1F"/>
    <w:rsid w:val="75544BB9"/>
    <w:rsid w:val="75752A67"/>
    <w:rsid w:val="75D35377"/>
    <w:rsid w:val="75DE4E4E"/>
    <w:rsid w:val="75F93477"/>
    <w:rsid w:val="76063D02"/>
    <w:rsid w:val="7631116A"/>
    <w:rsid w:val="76312C11"/>
    <w:rsid w:val="76345B3A"/>
    <w:rsid w:val="764346F2"/>
    <w:rsid w:val="76454D95"/>
    <w:rsid w:val="767317AC"/>
    <w:rsid w:val="7686064F"/>
    <w:rsid w:val="769474D0"/>
    <w:rsid w:val="769E4F43"/>
    <w:rsid w:val="76B858B5"/>
    <w:rsid w:val="76BF021D"/>
    <w:rsid w:val="76DF0673"/>
    <w:rsid w:val="76F55270"/>
    <w:rsid w:val="770B7768"/>
    <w:rsid w:val="77176354"/>
    <w:rsid w:val="773310E1"/>
    <w:rsid w:val="77366005"/>
    <w:rsid w:val="773D3F97"/>
    <w:rsid w:val="774910E8"/>
    <w:rsid w:val="774950AA"/>
    <w:rsid w:val="774A0F8C"/>
    <w:rsid w:val="774A385E"/>
    <w:rsid w:val="775760CE"/>
    <w:rsid w:val="777F79AC"/>
    <w:rsid w:val="77951A25"/>
    <w:rsid w:val="77960CE5"/>
    <w:rsid w:val="77CB650B"/>
    <w:rsid w:val="77CC2A1C"/>
    <w:rsid w:val="77CE4490"/>
    <w:rsid w:val="77D70E4B"/>
    <w:rsid w:val="77E67A2B"/>
    <w:rsid w:val="77FA34D6"/>
    <w:rsid w:val="77FA5285"/>
    <w:rsid w:val="78042DEB"/>
    <w:rsid w:val="78261305"/>
    <w:rsid w:val="784974F5"/>
    <w:rsid w:val="784B19A6"/>
    <w:rsid w:val="78540E39"/>
    <w:rsid w:val="78681083"/>
    <w:rsid w:val="788B24B1"/>
    <w:rsid w:val="789079E5"/>
    <w:rsid w:val="7891016B"/>
    <w:rsid w:val="78A04C44"/>
    <w:rsid w:val="78C338C8"/>
    <w:rsid w:val="78C85E2D"/>
    <w:rsid w:val="78E72828"/>
    <w:rsid w:val="78EA7B9F"/>
    <w:rsid w:val="790A14F7"/>
    <w:rsid w:val="791505C8"/>
    <w:rsid w:val="79224F56"/>
    <w:rsid w:val="79336CA0"/>
    <w:rsid w:val="793A7966"/>
    <w:rsid w:val="793B1C09"/>
    <w:rsid w:val="7947274B"/>
    <w:rsid w:val="795804B5"/>
    <w:rsid w:val="79863274"/>
    <w:rsid w:val="79BA79F3"/>
    <w:rsid w:val="79BB215E"/>
    <w:rsid w:val="79D87646"/>
    <w:rsid w:val="79E82BC7"/>
    <w:rsid w:val="7A1067EC"/>
    <w:rsid w:val="7A192CE7"/>
    <w:rsid w:val="7A287E87"/>
    <w:rsid w:val="7A2E2EA3"/>
    <w:rsid w:val="7A3007C8"/>
    <w:rsid w:val="7A3231AD"/>
    <w:rsid w:val="7A4A77F3"/>
    <w:rsid w:val="7A5A72EE"/>
    <w:rsid w:val="7A6F3D08"/>
    <w:rsid w:val="7A844288"/>
    <w:rsid w:val="7AA82540"/>
    <w:rsid w:val="7AB31A2E"/>
    <w:rsid w:val="7AB931D5"/>
    <w:rsid w:val="7ADC02AF"/>
    <w:rsid w:val="7AE56AF0"/>
    <w:rsid w:val="7B002DC3"/>
    <w:rsid w:val="7B080E99"/>
    <w:rsid w:val="7B0C23FF"/>
    <w:rsid w:val="7B0E1773"/>
    <w:rsid w:val="7B110428"/>
    <w:rsid w:val="7B113011"/>
    <w:rsid w:val="7B205002"/>
    <w:rsid w:val="7B220D7A"/>
    <w:rsid w:val="7B2F5349"/>
    <w:rsid w:val="7B5666FB"/>
    <w:rsid w:val="7B5C232E"/>
    <w:rsid w:val="7B5E12BB"/>
    <w:rsid w:val="7B637C47"/>
    <w:rsid w:val="7B72534D"/>
    <w:rsid w:val="7BA43E85"/>
    <w:rsid w:val="7BBF4208"/>
    <w:rsid w:val="7BC0312E"/>
    <w:rsid w:val="7BC62E25"/>
    <w:rsid w:val="7BD02203"/>
    <w:rsid w:val="7BD22006"/>
    <w:rsid w:val="7BE349AD"/>
    <w:rsid w:val="7BEC5FF5"/>
    <w:rsid w:val="7BFC0690"/>
    <w:rsid w:val="7BFE17E7"/>
    <w:rsid w:val="7C013085"/>
    <w:rsid w:val="7C0E2B1C"/>
    <w:rsid w:val="7C0E57A2"/>
    <w:rsid w:val="7C151079"/>
    <w:rsid w:val="7C2253BC"/>
    <w:rsid w:val="7C2E374F"/>
    <w:rsid w:val="7C350F81"/>
    <w:rsid w:val="7C43229D"/>
    <w:rsid w:val="7C460A98"/>
    <w:rsid w:val="7C4756C9"/>
    <w:rsid w:val="7C582C3F"/>
    <w:rsid w:val="7C593EE8"/>
    <w:rsid w:val="7C69514E"/>
    <w:rsid w:val="7C6A0C2B"/>
    <w:rsid w:val="7C753C13"/>
    <w:rsid w:val="7C7A6994"/>
    <w:rsid w:val="7C834987"/>
    <w:rsid w:val="7C855A65"/>
    <w:rsid w:val="7C9932BE"/>
    <w:rsid w:val="7C9B286D"/>
    <w:rsid w:val="7C9B7FF0"/>
    <w:rsid w:val="7C9E2682"/>
    <w:rsid w:val="7CB53251"/>
    <w:rsid w:val="7CB62D19"/>
    <w:rsid w:val="7CBE2D25"/>
    <w:rsid w:val="7CD93821"/>
    <w:rsid w:val="7CD95805"/>
    <w:rsid w:val="7CDB5685"/>
    <w:rsid w:val="7D13314E"/>
    <w:rsid w:val="7D230DDA"/>
    <w:rsid w:val="7D365DD8"/>
    <w:rsid w:val="7D3A23FC"/>
    <w:rsid w:val="7D625FC7"/>
    <w:rsid w:val="7D650CA3"/>
    <w:rsid w:val="7D6A0419"/>
    <w:rsid w:val="7D6B7727"/>
    <w:rsid w:val="7D7A5D33"/>
    <w:rsid w:val="7D8C77AE"/>
    <w:rsid w:val="7DA212C2"/>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C2A49"/>
    <w:rsid w:val="7E6D4A02"/>
    <w:rsid w:val="7E722A66"/>
    <w:rsid w:val="7E794FBB"/>
    <w:rsid w:val="7E806AA4"/>
    <w:rsid w:val="7E8F4979"/>
    <w:rsid w:val="7E9C305C"/>
    <w:rsid w:val="7E9F7268"/>
    <w:rsid w:val="7EA06B86"/>
    <w:rsid w:val="7EA26042"/>
    <w:rsid w:val="7EAF6879"/>
    <w:rsid w:val="7EB45D48"/>
    <w:rsid w:val="7EC17031"/>
    <w:rsid w:val="7EEA7E01"/>
    <w:rsid w:val="7EF152B8"/>
    <w:rsid w:val="7F0417A2"/>
    <w:rsid w:val="7F360FA8"/>
    <w:rsid w:val="7F3D43D5"/>
    <w:rsid w:val="7F427C3D"/>
    <w:rsid w:val="7F51074C"/>
    <w:rsid w:val="7F517E80"/>
    <w:rsid w:val="7F6F0306"/>
    <w:rsid w:val="7F7211CD"/>
    <w:rsid w:val="7F8B3961"/>
    <w:rsid w:val="7F8F3102"/>
    <w:rsid w:val="7F9C0E05"/>
    <w:rsid w:val="7F9F140C"/>
    <w:rsid w:val="7FA76140"/>
    <w:rsid w:val="7FC17096"/>
    <w:rsid w:val="7FE82E11"/>
    <w:rsid w:val="7FF97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7">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8">
    <w:name w:val="heading 5"/>
    <w:basedOn w:val="1"/>
    <w:next w:val="1"/>
    <w:link w:val="58"/>
    <w:qFormat/>
    <w:uiPriority w:val="0"/>
    <w:pPr>
      <w:keepNext/>
      <w:keepLines/>
      <w:spacing w:before="280" w:after="290" w:line="376" w:lineRule="auto"/>
      <w:outlineLvl w:val="4"/>
    </w:pPr>
    <w:rPr>
      <w:b/>
      <w:bCs/>
      <w:sz w:val="28"/>
      <w:szCs w:val="28"/>
    </w:rPr>
  </w:style>
  <w:style w:type="paragraph" w:styleId="9">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10">
    <w:name w:val="heading 7"/>
    <w:basedOn w:val="1"/>
    <w:next w:val="1"/>
    <w:link w:val="60"/>
    <w:qFormat/>
    <w:uiPriority w:val="0"/>
    <w:pPr>
      <w:keepNext/>
      <w:keepLines/>
      <w:spacing w:before="240" w:after="64" w:line="320" w:lineRule="auto"/>
      <w:outlineLvl w:val="6"/>
    </w:pPr>
    <w:rPr>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5"/>
    <w:autoRedefine/>
    <w:qFormat/>
    <w:uiPriority w:val="0"/>
    <w:pPr>
      <w:ind w:left="420" w:firstLine="420" w:firstLineChars="200"/>
    </w:pPr>
  </w:style>
  <w:style w:type="paragraph" w:styleId="3">
    <w:name w:val="Body Text Indent"/>
    <w:basedOn w:val="1"/>
    <w:link w:val="54"/>
    <w:autoRedefine/>
    <w:qFormat/>
    <w:uiPriority w:val="0"/>
    <w:pPr>
      <w:spacing w:after="120"/>
      <w:ind w:left="200" w:leftChars="200"/>
    </w:pPr>
  </w:style>
  <w:style w:type="paragraph" w:styleId="11">
    <w:name w:val="toc 7"/>
    <w:basedOn w:val="1"/>
    <w:next w:val="1"/>
    <w:autoRedefine/>
    <w:qFormat/>
    <w:uiPriority w:val="39"/>
    <w:pPr>
      <w:ind w:left="1260"/>
      <w:jc w:val="left"/>
    </w:pPr>
    <w:rPr>
      <w:sz w:val="18"/>
      <w:szCs w:val="18"/>
    </w:rPr>
  </w:style>
  <w:style w:type="paragraph" w:styleId="12">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3">
    <w:name w:val="Normal Indent"/>
    <w:basedOn w:val="1"/>
    <w:qFormat/>
    <w:uiPriority w:val="0"/>
    <w:pPr>
      <w:adjustRightInd w:val="0"/>
      <w:spacing w:line="360" w:lineRule="atLeast"/>
      <w:ind w:firstLine="482"/>
      <w:textAlignment w:val="baseline"/>
    </w:pPr>
    <w:rPr>
      <w:kern w:val="0"/>
      <w:sz w:val="24"/>
      <w:szCs w:val="20"/>
    </w:rPr>
  </w:style>
  <w:style w:type="paragraph" w:styleId="14">
    <w:name w:val="Document Map"/>
    <w:basedOn w:val="1"/>
    <w:next w:val="1"/>
    <w:qFormat/>
    <w:uiPriority w:val="0"/>
    <w:pPr>
      <w:widowControl/>
      <w:shd w:val="clear" w:color="000000" w:fill="000080"/>
      <w:spacing w:line="357" w:lineRule="atLeast"/>
    </w:pPr>
    <w:rPr>
      <w:color w:val="000000"/>
    </w:rPr>
  </w:style>
  <w:style w:type="paragraph" w:styleId="15">
    <w:name w:val="annotation text"/>
    <w:basedOn w:val="1"/>
    <w:link w:val="61"/>
    <w:autoRedefine/>
    <w:qFormat/>
    <w:uiPriority w:val="0"/>
    <w:pPr>
      <w:jc w:val="left"/>
    </w:pPr>
    <w:rPr>
      <w:color w:val="FF0000"/>
    </w:rPr>
  </w:style>
  <w:style w:type="paragraph" w:styleId="16">
    <w:name w:val="Body Text"/>
    <w:basedOn w:val="1"/>
    <w:semiHidden/>
    <w:qFormat/>
    <w:uiPriority w:val="0"/>
    <w:pPr>
      <w:spacing w:after="120"/>
    </w:pPr>
  </w:style>
  <w:style w:type="paragraph" w:styleId="17">
    <w:name w:val="index 4"/>
    <w:basedOn w:val="1"/>
    <w:next w:val="1"/>
    <w:qFormat/>
    <w:uiPriority w:val="99"/>
    <w:pPr>
      <w:ind w:left="600" w:leftChars="600"/>
    </w:pPr>
  </w:style>
  <w:style w:type="paragraph" w:styleId="18">
    <w:name w:val="toc 3"/>
    <w:basedOn w:val="1"/>
    <w:next w:val="1"/>
    <w:qFormat/>
    <w:uiPriority w:val="39"/>
    <w:pPr>
      <w:tabs>
        <w:tab w:val="right" w:leader="dot" w:pos="9288"/>
      </w:tabs>
      <w:ind w:left="400" w:leftChars="400"/>
    </w:pPr>
    <w:rPr>
      <w:rFonts w:ascii="宋体"/>
    </w:rPr>
  </w:style>
  <w:style w:type="paragraph" w:styleId="19">
    <w:name w:val="Plain Text"/>
    <w:basedOn w:val="1"/>
    <w:next w:val="1"/>
    <w:link w:val="62"/>
    <w:qFormat/>
    <w:uiPriority w:val="99"/>
    <w:rPr>
      <w:rFonts w:ascii="宋体"/>
      <w:color w:val="000000"/>
      <w:szCs w:val="20"/>
      <w:u w:color="000000"/>
    </w:rPr>
  </w:style>
  <w:style w:type="paragraph" w:styleId="20">
    <w:name w:val="Date"/>
    <w:basedOn w:val="1"/>
    <w:next w:val="1"/>
    <w:link w:val="63"/>
    <w:autoRedefine/>
    <w:qFormat/>
    <w:uiPriority w:val="0"/>
    <w:rPr>
      <w:rFonts w:ascii="Arial" w:hAnsi="Arial" w:eastAsia="仿宋_GB2312"/>
      <w:color w:val="000000"/>
      <w:sz w:val="32"/>
      <w:szCs w:val="20"/>
      <w:u w:color="000000"/>
    </w:rPr>
  </w:style>
  <w:style w:type="paragraph" w:styleId="21">
    <w:name w:val="Body Text Indent 2"/>
    <w:basedOn w:val="1"/>
    <w:link w:val="64"/>
    <w:qFormat/>
    <w:uiPriority w:val="0"/>
    <w:pPr>
      <w:spacing w:after="120" w:line="480" w:lineRule="auto"/>
      <w:ind w:left="420" w:leftChars="200"/>
    </w:pPr>
  </w:style>
  <w:style w:type="paragraph" w:styleId="22">
    <w:name w:val="endnote text"/>
    <w:basedOn w:val="1"/>
    <w:autoRedefine/>
    <w:qFormat/>
    <w:uiPriority w:val="99"/>
    <w:pPr>
      <w:snapToGrid w:val="0"/>
    </w:pPr>
    <w:rPr>
      <w:rFonts w:ascii="仿宋" w:hAnsi="仿宋"/>
    </w:rPr>
  </w:style>
  <w:style w:type="paragraph" w:styleId="23">
    <w:name w:val="Balloon Text"/>
    <w:basedOn w:val="1"/>
    <w:link w:val="65"/>
    <w:autoRedefine/>
    <w:qFormat/>
    <w:uiPriority w:val="0"/>
    <w:rPr>
      <w:sz w:val="18"/>
      <w:szCs w:val="18"/>
    </w:rPr>
  </w:style>
  <w:style w:type="paragraph" w:styleId="24">
    <w:name w:val="footer"/>
    <w:basedOn w:val="1"/>
    <w:link w:val="66"/>
    <w:qFormat/>
    <w:uiPriority w:val="0"/>
    <w:pPr>
      <w:tabs>
        <w:tab w:val="center" w:pos="4153"/>
        <w:tab w:val="right" w:pos="8306"/>
      </w:tabs>
      <w:snapToGrid w:val="0"/>
      <w:jc w:val="left"/>
    </w:pPr>
    <w:rPr>
      <w:sz w:val="18"/>
      <w:szCs w:val="18"/>
    </w:rPr>
  </w:style>
  <w:style w:type="paragraph" w:styleId="25">
    <w:name w:val="envelope return"/>
    <w:basedOn w:val="1"/>
    <w:next w:val="11"/>
    <w:qFormat/>
    <w:uiPriority w:val="0"/>
    <w:pPr>
      <w:snapToGrid w:val="0"/>
    </w:pPr>
    <w:rPr>
      <w:rFonts w:ascii="Arial" w:hAnsi="Arial"/>
    </w:rPr>
  </w:style>
  <w:style w:type="paragraph" w:styleId="26">
    <w:name w:val="header"/>
    <w:basedOn w:val="1"/>
    <w:link w:val="67"/>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Subtitle"/>
    <w:basedOn w:val="1"/>
    <w:next w:val="1"/>
    <w:autoRedefine/>
    <w:qFormat/>
    <w:uiPriority w:val="0"/>
    <w:pPr>
      <w:numPr>
        <w:ilvl w:val="0"/>
        <w:numId w:val="3"/>
      </w:numPr>
      <w:spacing w:line="360" w:lineRule="auto"/>
      <w:jc w:val="left"/>
      <w:outlineLvl w:val="1"/>
    </w:pPr>
    <w:rPr>
      <w:rFonts w:ascii="Calibri Light" w:hAnsi="Calibri Light"/>
      <w:bCs/>
      <w:kern w:val="28"/>
      <w:szCs w:val="32"/>
    </w:rPr>
  </w:style>
  <w:style w:type="paragraph" w:styleId="29">
    <w:name w:val="List"/>
    <w:basedOn w:val="1"/>
    <w:autoRedefine/>
    <w:qFormat/>
    <w:uiPriority w:val="0"/>
    <w:pPr>
      <w:ind w:left="420" w:hanging="420"/>
    </w:pPr>
    <w:rPr>
      <w:rFonts w:ascii="Arial" w:hAnsi="Arial" w:eastAsia="楷体_GB2312"/>
      <w:sz w:val="28"/>
    </w:rPr>
  </w:style>
  <w:style w:type="paragraph" w:styleId="30">
    <w:name w:val="toc 2"/>
    <w:basedOn w:val="1"/>
    <w:next w:val="1"/>
    <w:qFormat/>
    <w:uiPriority w:val="39"/>
    <w:pPr>
      <w:ind w:left="200" w:leftChars="200"/>
    </w:p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autoRedefine/>
    <w:qFormat/>
    <w:uiPriority w:val="0"/>
    <w:pPr>
      <w:jc w:val="center"/>
    </w:pPr>
    <w:rPr>
      <w:rFonts w:ascii="Arial" w:hAnsi="Arial" w:eastAsia="Arial" w:cs="Arial"/>
      <w:b/>
      <w:bCs/>
      <w:sz w:val="28"/>
    </w:rPr>
  </w:style>
  <w:style w:type="paragraph" w:styleId="33">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4">
    <w:name w:val="annotation subject"/>
    <w:basedOn w:val="15"/>
    <w:next w:val="15"/>
    <w:link w:val="68"/>
    <w:qFormat/>
    <w:uiPriority w:val="0"/>
    <w:rPr>
      <w:b/>
      <w:bCs/>
    </w:rPr>
  </w:style>
  <w:style w:type="paragraph" w:styleId="35">
    <w:name w:val="Body Text First Indent"/>
    <w:basedOn w:val="16"/>
    <w:unhideWhenUsed/>
    <w:qFormat/>
    <w:uiPriority w:val="99"/>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paragraph" w:customStyle="1" w:styleId="53">
    <w:name w:val="正文文字 8"/>
    <w:basedOn w:val="1"/>
    <w:next w:val="1"/>
    <w:autoRedefine/>
    <w:qFormat/>
    <w:uiPriority w:val="0"/>
    <w:pPr>
      <w:ind w:left="240"/>
    </w:pPr>
    <w:rPr>
      <w:sz w:val="16"/>
    </w:rPr>
  </w:style>
  <w:style w:type="character" w:customStyle="1" w:styleId="54">
    <w:name w:val="正文文本缩进 字符"/>
    <w:link w:val="3"/>
    <w:autoRedefine/>
    <w:qFormat/>
    <w:uiPriority w:val="0"/>
    <w:rPr>
      <w:kern w:val="2"/>
      <w:sz w:val="21"/>
      <w:szCs w:val="24"/>
    </w:rPr>
  </w:style>
  <w:style w:type="character" w:customStyle="1" w:styleId="55">
    <w:name w:val="正文首行缩进 2 字符"/>
    <w:link w:val="2"/>
    <w:autoRedefine/>
    <w:qFormat/>
    <w:uiPriority w:val="0"/>
  </w:style>
  <w:style w:type="character" w:customStyle="1" w:styleId="56">
    <w:name w:val="标题 1 字符"/>
    <w:link w:val="4"/>
    <w:autoRedefine/>
    <w:qFormat/>
    <w:uiPriority w:val="0"/>
    <w:rPr>
      <w:b/>
      <w:bCs/>
      <w:kern w:val="44"/>
      <w:sz w:val="44"/>
      <w:szCs w:val="44"/>
    </w:rPr>
  </w:style>
  <w:style w:type="character" w:customStyle="1" w:styleId="57">
    <w:name w:val="标题 4 字符"/>
    <w:link w:val="7"/>
    <w:autoRedefine/>
    <w:qFormat/>
    <w:locked/>
    <w:uiPriority w:val="0"/>
    <w:rPr>
      <w:rFonts w:ascii="Arial" w:hAnsi="Arial" w:eastAsia="黑体"/>
      <w:b/>
      <w:bCs/>
      <w:color w:val="000000"/>
      <w:sz w:val="28"/>
      <w:szCs w:val="28"/>
      <w:u w:val="none" w:color="000000"/>
      <w:lang w:val="en-US" w:eastAsia="zh-CN" w:bidi="ar-SA"/>
    </w:rPr>
  </w:style>
  <w:style w:type="character" w:customStyle="1" w:styleId="58">
    <w:name w:val="标题 5 字符"/>
    <w:link w:val="8"/>
    <w:semiHidden/>
    <w:qFormat/>
    <w:uiPriority w:val="0"/>
    <w:rPr>
      <w:b/>
      <w:bCs/>
      <w:kern w:val="2"/>
      <w:sz w:val="28"/>
      <w:szCs w:val="28"/>
    </w:rPr>
  </w:style>
  <w:style w:type="character" w:customStyle="1" w:styleId="59">
    <w:name w:val="标题 6 字符"/>
    <w:link w:val="9"/>
    <w:semiHidden/>
    <w:qFormat/>
    <w:uiPriority w:val="0"/>
    <w:rPr>
      <w:rFonts w:ascii="Cambria" w:hAnsi="Cambria" w:eastAsia="宋体" w:cs="Times New Roman"/>
      <w:b/>
      <w:bCs/>
      <w:kern w:val="2"/>
      <w:sz w:val="24"/>
      <w:szCs w:val="24"/>
    </w:rPr>
  </w:style>
  <w:style w:type="character" w:customStyle="1" w:styleId="60">
    <w:name w:val="标题 7 字符"/>
    <w:link w:val="10"/>
    <w:semiHidden/>
    <w:qFormat/>
    <w:uiPriority w:val="0"/>
    <w:rPr>
      <w:b/>
      <w:bCs/>
      <w:kern w:val="2"/>
      <w:sz w:val="24"/>
      <w:szCs w:val="24"/>
    </w:rPr>
  </w:style>
  <w:style w:type="character" w:customStyle="1" w:styleId="61">
    <w:name w:val="批注文字 字符"/>
    <w:link w:val="15"/>
    <w:qFormat/>
    <w:uiPriority w:val="0"/>
    <w:rPr>
      <w:color w:val="FF0000"/>
      <w:kern w:val="2"/>
      <w:sz w:val="21"/>
      <w:szCs w:val="24"/>
    </w:rPr>
  </w:style>
  <w:style w:type="character" w:customStyle="1" w:styleId="62">
    <w:name w:val="纯文本 字符"/>
    <w:link w:val="19"/>
    <w:qFormat/>
    <w:uiPriority w:val="99"/>
    <w:rPr>
      <w:rFonts w:ascii="宋体" w:eastAsia="宋体"/>
      <w:color w:val="000000"/>
      <w:kern w:val="2"/>
      <w:sz w:val="21"/>
      <w:u w:val="none" w:color="000000"/>
      <w:lang w:val="en-US" w:eastAsia="zh-CN" w:bidi="ar-SA"/>
    </w:rPr>
  </w:style>
  <w:style w:type="character" w:customStyle="1" w:styleId="63">
    <w:name w:val="日期 字符"/>
    <w:link w:val="20"/>
    <w:qFormat/>
    <w:uiPriority w:val="0"/>
    <w:rPr>
      <w:rFonts w:ascii="Arial" w:hAnsi="Arial" w:eastAsia="仿宋_GB2312"/>
      <w:color w:val="000000"/>
      <w:kern w:val="2"/>
      <w:sz w:val="32"/>
      <w:u w:val="none" w:color="000000"/>
    </w:rPr>
  </w:style>
  <w:style w:type="character" w:customStyle="1" w:styleId="64">
    <w:name w:val="正文文本缩进 2 字符"/>
    <w:link w:val="21"/>
    <w:autoRedefine/>
    <w:qFormat/>
    <w:uiPriority w:val="0"/>
    <w:rPr>
      <w:kern w:val="2"/>
      <w:sz w:val="21"/>
      <w:szCs w:val="24"/>
    </w:rPr>
  </w:style>
  <w:style w:type="character" w:customStyle="1" w:styleId="65">
    <w:name w:val="批注框文本 字符"/>
    <w:link w:val="23"/>
    <w:qFormat/>
    <w:uiPriority w:val="0"/>
    <w:rPr>
      <w:kern w:val="2"/>
      <w:sz w:val="18"/>
      <w:szCs w:val="18"/>
    </w:rPr>
  </w:style>
  <w:style w:type="character" w:customStyle="1" w:styleId="66">
    <w:name w:val="页脚 字符"/>
    <w:link w:val="24"/>
    <w:autoRedefine/>
    <w:qFormat/>
    <w:locked/>
    <w:uiPriority w:val="0"/>
    <w:rPr>
      <w:kern w:val="2"/>
      <w:sz w:val="18"/>
      <w:szCs w:val="18"/>
    </w:rPr>
  </w:style>
  <w:style w:type="character" w:customStyle="1" w:styleId="67">
    <w:name w:val="页眉 字符"/>
    <w:link w:val="26"/>
    <w:qFormat/>
    <w:locked/>
    <w:uiPriority w:val="0"/>
    <w:rPr>
      <w:kern w:val="2"/>
      <w:sz w:val="18"/>
      <w:szCs w:val="18"/>
    </w:rPr>
  </w:style>
  <w:style w:type="character" w:customStyle="1" w:styleId="68">
    <w:name w:val="批注主题 字符"/>
    <w:link w:val="34"/>
    <w:autoRedefine/>
    <w:qFormat/>
    <w:uiPriority w:val="0"/>
    <w:rPr>
      <w:b/>
      <w:bCs/>
      <w:kern w:val="2"/>
      <w:sz w:val="21"/>
      <w:szCs w:val="24"/>
    </w:rPr>
  </w:style>
  <w:style w:type="character" w:customStyle="1" w:styleId="69">
    <w:name w:val="font121"/>
    <w:autoRedefine/>
    <w:qFormat/>
    <w:uiPriority w:val="0"/>
    <w:rPr>
      <w:rFonts w:hint="eastAsia" w:ascii="宋体" w:hAnsi="宋体" w:eastAsia="宋体" w:cs="宋体"/>
      <w:color w:val="000000"/>
      <w:sz w:val="24"/>
      <w:szCs w:val="24"/>
      <w:u w:val="none"/>
    </w:rPr>
  </w:style>
  <w:style w:type="character" w:customStyle="1" w:styleId="70">
    <w:name w:val="font141"/>
    <w:qFormat/>
    <w:uiPriority w:val="0"/>
    <w:rPr>
      <w:rFonts w:ascii="Arial" w:hAnsi="Arial" w:cs="Arial"/>
      <w:color w:val="000000"/>
      <w:sz w:val="24"/>
      <w:szCs w:val="24"/>
      <w:u w:val="none"/>
    </w:rPr>
  </w:style>
  <w:style w:type="character" w:customStyle="1" w:styleId="71">
    <w:name w:val="_37aak"/>
    <w:autoRedefine/>
    <w:qFormat/>
    <w:uiPriority w:val="0"/>
  </w:style>
  <w:style w:type="character" w:customStyle="1" w:styleId="72">
    <w:name w:val="图表 Char"/>
    <w:link w:val="73"/>
    <w:qFormat/>
    <w:uiPriority w:val="0"/>
    <w:rPr>
      <w:kern w:val="2"/>
      <w:sz w:val="21"/>
      <w:szCs w:val="21"/>
    </w:rPr>
  </w:style>
  <w:style w:type="paragraph" w:customStyle="1" w:styleId="73">
    <w:name w:val="图表"/>
    <w:basedOn w:val="1"/>
    <w:next w:val="1"/>
    <w:link w:val="72"/>
    <w:autoRedefine/>
    <w:qFormat/>
    <w:uiPriority w:val="0"/>
    <w:pPr>
      <w:jc w:val="center"/>
    </w:pPr>
    <w:rPr>
      <w:szCs w:val="21"/>
    </w:rPr>
  </w:style>
  <w:style w:type="character" w:customStyle="1" w:styleId="74">
    <w:name w:val="font01"/>
    <w:qFormat/>
    <w:uiPriority w:val="0"/>
    <w:rPr>
      <w:rFonts w:hint="eastAsia" w:ascii="宋体" w:hAnsi="宋体" w:eastAsia="宋体" w:cs="宋体"/>
      <w:color w:val="000000"/>
      <w:sz w:val="22"/>
      <w:szCs w:val="22"/>
      <w:u w:val="none"/>
    </w:rPr>
  </w:style>
  <w:style w:type="character" w:customStyle="1" w:styleId="75">
    <w:name w:val="hover4"/>
    <w:autoRedefine/>
    <w:qFormat/>
    <w:uiPriority w:val="0"/>
    <w:rPr>
      <w:color w:val="2590EB"/>
      <w:shd w:val="clear" w:color="auto" w:fill="E9F4FD"/>
    </w:rPr>
  </w:style>
  <w:style w:type="character" w:customStyle="1" w:styleId="76">
    <w:name w:val="font101"/>
    <w:qFormat/>
    <w:uiPriority w:val="0"/>
    <w:rPr>
      <w:rFonts w:hint="eastAsia" w:ascii="宋体" w:hAnsi="宋体" w:eastAsia="宋体" w:cs="宋体"/>
      <w:color w:val="000000"/>
      <w:sz w:val="18"/>
      <w:szCs w:val="18"/>
      <w:u w:val="none"/>
    </w:rPr>
  </w:style>
  <w:style w:type="character" w:customStyle="1" w:styleId="77">
    <w:name w:val="font161"/>
    <w:qFormat/>
    <w:uiPriority w:val="0"/>
    <w:rPr>
      <w:rFonts w:hint="eastAsia" w:ascii="宋体" w:hAnsi="宋体" w:eastAsia="宋体" w:cs="宋体"/>
      <w:b/>
      <w:bCs/>
      <w:color w:val="333333"/>
      <w:sz w:val="27"/>
      <w:szCs w:val="27"/>
      <w:u w:val="none"/>
    </w:rPr>
  </w:style>
  <w:style w:type="character" w:customStyle="1" w:styleId="78">
    <w:name w:val="first-child"/>
    <w:qFormat/>
    <w:uiPriority w:val="0"/>
  </w:style>
  <w:style w:type="character" w:customStyle="1" w:styleId="79">
    <w:name w:val="【正文】 Char"/>
    <w:link w:val="80"/>
    <w:qFormat/>
    <w:uiPriority w:val="0"/>
    <w:rPr>
      <w:rFonts w:cs="DokChampa"/>
      <w:kern w:val="2"/>
      <w:sz w:val="24"/>
      <w:szCs w:val="22"/>
    </w:rPr>
  </w:style>
  <w:style w:type="paragraph" w:customStyle="1" w:styleId="80">
    <w:name w:val="【正文】"/>
    <w:basedOn w:val="1"/>
    <w:link w:val="79"/>
    <w:autoRedefine/>
    <w:qFormat/>
    <w:uiPriority w:val="0"/>
    <w:pPr>
      <w:spacing w:line="360" w:lineRule="auto"/>
      <w:ind w:firstLine="480" w:firstLineChars="200"/>
    </w:pPr>
    <w:rPr>
      <w:sz w:val="24"/>
      <w:szCs w:val="22"/>
    </w:rPr>
  </w:style>
  <w:style w:type="character" w:customStyle="1" w:styleId="81">
    <w:name w:val="font131"/>
    <w:qFormat/>
    <w:uiPriority w:val="0"/>
    <w:rPr>
      <w:rFonts w:ascii="仿宋" w:hAnsi="仿宋" w:eastAsia="仿宋" w:cs="仿宋"/>
      <w:color w:val="000000"/>
      <w:sz w:val="24"/>
      <w:szCs w:val="24"/>
      <w:u w:val="none"/>
    </w:rPr>
  </w:style>
  <w:style w:type="character" w:customStyle="1" w:styleId="82">
    <w:name w:val="font181"/>
    <w:qFormat/>
    <w:uiPriority w:val="0"/>
    <w:rPr>
      <w:rFonts w:hint="eastAsia" w:ascii="宋体" w:hAnsi="宋体" w:eastAsia="宋体" w:cs="宋体"/>
      <w:color w:val="1A66B3"/>
      <w:sz w:val="18"/>
      <w:szCs w:val="18"/>
      <w:u w:val="none"/>
    </w:rPr>
  </w:style>
  <w:style w:type="character" w:customStyle="1" w:styleId="83">
    <w:name w:val="hover3"/>
    <w:qFormat/>
    <w:uiPriority w:val="0"/>
  </w:style>
  <w:style w:type="character" w:customStyle="1" w:styleId="84">
    <w:name w:val="font112"/>
    <w:autoRedefine/>
    <w:qFormat/>
    <w:uiPriority w:val="0"/>
    <w:rPr>
      <w:rFonts w:ascii="Verdana" w:hAnsi="Verdana" w:cs="Verdana"/>
      <w:color w:val="000000"/>
      <w:sz w:val="18"/>
      <w:szCs w:val="18"/>
      <w:u w:val="none"/>
    </w:rPr>
  </w:style>
  <w:style w:type="character" w:customStyle="1" w:styleId="85">
    <w:name w:val="font81"/>
    <w:qFormat/>
    <w:uiPriority w:val="0"/>
    <w:rPr>
      <w:rFonts w:hint="default" w:ascii="Verdana" w:hAnsi="Verdana" w:cs="Verdana"/>
      <w:color w:val="000000"/>
      <w:sz w:val="18"/>
      <w:szCs w:val="18"/>
      <w:u w:val="none"/>
    </w:rPr>
  </w:style>
  <w:style w:type="character" w:customStyle="1" w:styleId="86">
    <w:name w:val="hover"/>
    <w:qFormat/>
    <w:uiPriority w:val="0"/>
    <w:rPr>
      <w:color w:val="2590EB"/>
      <w:shd w:val="clear" w:color="auto" w:fill="E9F4FD"/>
    </w:rPr>
  </w:style>
  <w:style w:type="character" w:customStyle="1" w:styleId="87">
    <w:name w:val="font41"/>
    <w:autoRedefine/>
    <w:qFormat/>
    <w:uiPriority w:val="0"/>
    <w:rPr>
      <w:rFonts w:hint="eastAsia" w:ascii="宋体" w:hAnsi="宋体" w:eastAsia="宋体" w:cs="宋体"/>
      <w:color w:val="000000"/>
      <w:sz w:val="22"/>
      <w:szCs w:val="22"/>
      <w:u w:val="none"/>
    </w:rPr>
  </w:style>
  <w:style w:type="character" w:customStyle="1" w:styleId="88">
    <w:name w:val="hover2"/>
    <w:qFormat/>
    <w:uiPriority w:val="0"/>
    <w:rPr>
      <w:color w:val="2590EB"/>
    </w:rPr>
  </w:style>
  <w:style w:type="character" w:customStyle="1" w:styleId="89">
    <w:name w:val="hover1"/>
    <w:qFormat/>
    <w:uiPriority w:val="0"/>
    <w:rPr>
      <w:color w:val="2590EB"/>
    </w:rPr>
  </w:style>
  <w:style w:type="character" w:customStyle="1" w:styleId="90">
    <w:name w:val="first-child1"/>
    <w:autoRedefine/>
    <w:qFormat/>
    <w:uiPriority w:val="0"/>
  </w:style>
  <w:style w:type="character" w:customStyle="1" w:styleId="91">
    <w:name w:val="selected"/>
    <w:qFormat/>
    <w:uiPriority w:val="0"/>
    <w:rPr>
      <w:shd w:val="clear" w:color="auto" w:fill="B00006"/>
    </w:rPr>
  </w:style>
  <w:style w:type="character" w:customStyle="1" w:styleId="92">
    <w:name w:val="gpa"/>
    <w:autoRedefine/>
    <w:qFormat/>
    <w:uiPriority w:val="0"/>
    <w:rPr>
      <w:rFonts w:ascii="Arial" w:hAnsi="Arial" w:cs="Arial"/>
      <w:sz w:val="15"/>
      <w:szCs w:val="15"/>
    </w:rPr>
  </w:style>
  <w:style w:type="character" w:customStyle="1" w:styleId="93">
    <w:name w:val="apple-converted-space"/>
    <w:qFormat/>
    <w:uiPriority w:val="0"/>
  </w:style>
  <w:style w:type="character" w:customStyle="1" w:styleId="94">
    <w:name w:val="列出段落 Char"/>
    <w:link w:val="95"/>
    <w:autoRedefine/>
    <w:qFormat/>
    <w:locked/>
    <w:uiPriority w:val="0"/>
    <w:rPr>
      <w:rFonts w:ascii="Calibri" w:hAnsi="Calibri" w:eastAsia="宋体"/>
      <w:kern w:val="2"/>
      <w:sz w:val="21"/>
      <w:szCs w:val="22"/>
      <w:lang w:val="en-US" w:eastAsia="zh-CN" w:bidi="ar-SA"/>
    </w:rPr>
  </w:style>
  <w:style w:type="paragraph" w:customStyle="1" w:styleId="95">
    <w:name w:val="List Paragraph1"/>
    <w:basedOn w:val="1"/>
    <w:link w:val="94"/>
    <w:qFormat/>
    <w:uiPriority w:val="0"/>
    <w:pPr>
      <w:spacing w:line="312" w:lineRule="auto"/>
      <w:ind w:firstLine="420" w:firstLineChars="200"/>
    </w:pPr>
    <w:rPr>
      <w:rFonts w:ascii="Calibri" w:hAnsi="Calibri"/>
      <w:szCs w:val="22"/>
    </w:rPr>
  </w:style>
  <w:style w:type="character" w:customStyle="1" w:styleId="96">
    <w:name w:val="displayarti"/>
    <w:qFormat/>
    <w:uiPriority w:val="0"/>
    <w:rPr>
      <w:color w:val="FFFFFF"/>
      <w:shd w:val="clear" w:color="auto" w:fill="A00000"/>
    </w:rPr>
  </w:style>
  <w:style w:type="character" w:customStyle="1" w:styleId="97">
    <w:name w:val="正文首行缩进 2 Char1"/>
    <w:autoRedefine/>
    <w:qFormat/>
    <w:uiPriority w:val="0"/>
  </w:style>
  <w:style w:type="character" w:customStyle="1" w:styleId="98">
    <w:name w:val="layui-this"/>
    <w:autoRedefine/>
    <w:qFormat/>
    <w:uiPriority w:val="0"/>
    <w:rPr>
      <w:bdr w:val="single" w:color="EEEEEE" w:sz="6" w:space="0"/>
      <w:shd w:val="clear" w:color="auto" w:fill="FFFFFF"/>
    </w:rPr>
  </w:style>
  <w:style w:type="character" w:customStyle="1" w:styleId="99">
    <w:name w:val="font151"/>
    <w:autoRedefine/>
    <w:qFormat/>
    <w:uiPriority w:val="0"/>
    <w:rPr>
      <w:rFonts w:hint="default" w:ascii="Verdana" w:hAnsi="Verdana" w:cs="Verdana"/>
      <w:b/>
      <w:bCs/>
      <w:color w:val="333333"/>
      <w:sz w:val="27"/>
      <w:szCs w:val="27"/>
      <w:u w:val="none"/>
    </w:rPr>
  </w:style>
  <w:style w:type="character" w:customStyle="1" w:styleId="100">
    <w:name w:val="font171"/>
    <w:autoRedefine/>
    <w:qFormat/>
    <w:uiPriority w:val="0"/>
    <w:rPr>
      <w:rFonts w:hint="eastAsia" w:ascii="宋体" w:hAnsi="宋体" w:eastAsia="宋体" w:cs="宋体"/>
      <w:color w:val="646464"/>
      <w:sz w:val="18"/>
      <w:szCs w:val="18"/>
      <w:u w:val="none"/>
    </w:rPr>
  </w:style>
  <w:style w:type="character" w:customStyle="1" w:styleId="101">
    <w:name w:val="hover7"/>
    <w:autoRedefine/>
    <w:qFormat/>
    <w:uiPriority w:val="0"/>
    <w:rPr>
      <w:color w:val="315EFB"/>
    </w:rPr>
  </w:style>
  <w:style w:type="paragraph" w:customStyle="1" w:styleId="102">
    <w:name w:val="列表2"/>
    <w:basedOn w:val="1"/>
    <w:next w:val="1"/>
    <w:qFormat/>
    <w:uiPriority w:val="0"/>
    <w:pPr>
      <w:numPr>
        <w:ilvl w:val="0"/>
        <w:numId w:val="5"/>
      </w:numPr>
      <w:spacing w:line="200" w:lineRule="atLeast"/>
    </w:pPr>
    <w:rPr>
      <w:rFonts w:eastAsia="仿宋"/>
      <w:sz w:val="28"/>
    </w:rPr>
  </w:style>
  <w:style w:type="paragraph" w:customStyle="1" w:styleId="103">
    <w:name w:val="text-tag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标题4"/>
    <w:basedOn w:val="1"/>
    <w:qFormat/>
    <w:uiPriority w:val="0"/>
    <w:pPr>
      <w:numPr>
        <w:ilvl w:val="0"/>
        <w:numId w:val="6"/>
      </w:numPr>
      <w:spacing w:line="360" w:lineRule="auto"/>
      <w:ind w:left="720" w:leftChars="300"/>
      <w:jc w:val="left"/>
    </w:pPr>
    <w:rPr>
      <w:rFonts w:ascii="宋体" w:hAnsi="宋体"/>
      <w:sz w:val="18"/>
      <w:szCs w:val="18"/>
    </w:rPr>
  </w:style>
  <w:style w:type="paragraph" w:customStyle="1" w:styleId="105">
    <w:name w:val="Char"/>
    <w:basedOn w:val="1"/>
    <w:next w:val="1"/>
    <w:autoRedefine/>
    <w:qFormat/>
    <w:uiPriority w:val="0"/>
    <w:pPr>
      <w:widowControl/>
      <w:spacing w:line="360" w:lineRule="auto"/>
      <w:jc w:val="left"/>
    </w:pPr>
    <w:rPr>
      <w:kern w:val="0"/>
      <w:szCs w:val="20"/>
      <w:lang w:eastAsia="en-US"/>
    </w:rPr>
  </w:style>
  <w:style w:type="paragraph" w:customStyle="1" w:styleId="106">
    <w:name w:val="样式1"/>
    <w:basedOn w:val="1"/>
    <w:qFormat/>
    <w:uiPriority w:val="0"/>
    <w:pPr>
      <w:spacing w:line="360" w:lineRule="auto"/>
      <w:jc w:val="center"/>
    </w:pPr>
    <w:rPr>
      <w:b/>
      <w:sz w:val="30"/>
      <w:szCs w:val="30"/>
    </w:rPr>
  </w:style>
  <w:style w:type="paragraph" w:customStyle="1" w:styleId="107">
    <w:name w:val="Char Char Char Char"/>
    <w:basedOn w:val="1"/>
    <w:qFormat/>
    <w:uiPriority w:val="0"/>
    <w:rPr>
      <w:rFonts w:ascii="Tahoma" w:hAnsi="Tahoma"/>
      <w:sz w:val="24"/>
      <w:szCs w:val="20"/>
    </w:rPr>
  </w:style>
  <w:style w:type="paragraph" w:customStyle="1" w:styleId="108">
    <w:name w:val="_Style 4"/>
    <w:basedOn w:val="1"/>
    <w:qFormat/>
    <w:uiPriority w:val="34"/>
    <w:pPr>
      <w:adjustRightInd w:val="0"/>
      <w:ind w:firstLine="420" w:firstLineChars="200"/>
      <w:jc w:val="left"/>
      <w:textAlignment w:val="baseline"/>
    </w:pPr>
    <w:rPr>
      <w:kern w:val="0"/>
      <w:szCs w:val="20"/>
    </w:rPr>
  </w:style>
  <w:style w:type="paragraph" w:customStyle="1" w:styleId="109">
    <w:name w:val="列出段落2"/>
    <w:basedOn w:val="1"/>
    <w:autoRedefine/>
    <w:qFormat/>
    <w:uiPriority w:val="0"/>
    <w:pPr>
      <w:ind w:firstLine="420" w:firstLineChars="200"/>
    </w:pPr>
    <w:rPr>
      <w:rFonts w:ascii="Calibri" w:hAnsi="Calibri"/>
      <w:szCs w:val="22"/>
    </w:rPr>
  </w:style>
  <w:style w:type="paragraph" w:customStyle="1" w:styleId="110">
    <w:name w:val="列出段落11"/>
    <w:basedOn w:val="1"/>
    <w:qFormat/>
    <w:uiPriority w:val="0"/>
    <w:pPr>
      <w:spacing w:after="120" w:line="360" w:lineRule="auto"/>
      <w:ind w:firstLine="420" w:firstLineChars="200"/>
    </w:pPr>
    <w:rPr>
      <w:rFonts w:ascii="Calibri" w:hAnsi="Calibri"/>
      <w:szCs w:val="22"/>
    </w:rPr>
  </w:style>
  <w:style w:type="paragraph" w:customStyle="1" w:styleId="111">
    <w:name w:val="xl25"/>
    <w:basedOn w:val="1"/>
    <w:autoRedefine/>
    <w:qFormat/>
    <w:uiPriority w:val="0"/>
    <w:pPr>
      <w:widowControl/>
      <w:spacing w:before="100" w:beforeAutospacing="1" w:after="100" w:afterAutospacing="1"/>
      <w:jc w:val="right"/>
    </w:pPr>
    <w:rPr>
      <w:rFonts w:ascii="Arial Unicode MS" w:hAnsi="Arial Unicode MS" w:cs="Arial Unicode MS"/>
      <w:color w:val="000000"/>
      <w:kern w:val="0"/>
      <w:sz w:val="18"/>
      <w:szCs w:val="18"/>
    </w:rPr>
  </w:style>
  <w:style w:type="paragraph" w:customStyle="1" w:styleId="112">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Table Paragraph"/>
    <w:basedOn w:val="1"/>
    <w:autoRedefine/>
    <w:qFormat/>
    <w:uiPriority w:val="1"/>
    <w:rPr>
      <w:rFonts w:ascii="宋体" w:hAnsi="宋体" w:cs="宋体"/>
      <w:lang w:val="zh-CN" w:bidi="zh-CN"/>
    </w:rPr>
  </w:style>
  <w:style w:type="paragraph" w:customStyle="1" w:styleId="114">
    <w:name w:val="D&amp;L"/>
    <w:basedOn w:val="2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5">
    <w:name w:val="列出段落1"/>
    <w:basedOn w:val="1"/>
    <w:qFormat/>
    <w:uiPriority w:val="34"/>
    <w:pPr>
      <w:ind w:firstLine="420" w:firstLineChars="200"/>
    </w:pPr>
  </w:style>
  <w:style w:type="paragraph" w:customStyle="1" w:styleId="116">
    <w:name w:val="Char Char Char Char Char Char Char1 Char"/>
    <w:basedOn w:val="1"/>
    <w:qFormat/>
    <w:uiPriority w:val="0"/>
    <w:rPr>
      <w:rFonts w:ascii="Tahoma" w:hAnsi="Tahoma"/>
      <w:sz w:val="24"/>
      <w:szCs w:val="20"/>
    </w:rPr>
  </w:style>
  <w:style w:type="paragraph" w:styleId="117">
    <w:name w:val="List Paragraph"/>
    <w:basedOn w:val="1"/>
    <w:qFormat/>
    <w:uiPriority w:val="0"/>
    <w:pPr>
      <w:spacing w:line="360" w:lineRule="auto"/>
      <w:ind w:firstLine="420" w:firstLineChars="200"/>
    </w:pPr>
    <w:rPr>
      <w:rFonts w:ascii="宋体" w:hAnsi="宋体" w:cs="宋体"/>
      <w:sz w:val="24"/>
    </w:rPr>
  </w:style>
  <w:style w:type="paragraph" w:customStyle="1" w:styleId="118">
    <w:name w:val="List Paragraph2"/>
    <w:basedOn w:val="1"/>
    <w:autoRedefine/>
    <w:qFormat/>
    <w:uiPriority w:val="0"/>
    <w:pPr>
      <w:spacing w:line="360" w:lineRule="auto"/>
      <w:ind w:firstLine="420"/>
    </w:pPr>
    <w:rPr>
      <w:color w:val="000000"/>
      <w:sz w:val="24"/>
      <w:szCs w:val="21"/>
    </w:rPr>
  </w:style>
  <w:style w:type="paragraph" w:customStyle="1" w:styleId="119">
    <w:name w:val="（无样式）"/>
    <w:basedOn w:val="1"/>
    <w:qFormat/>
    <w:uiPriority w:val="0"/>
    <w:pPr>
      <w:widowControl/>
      <w:numPr>
        <w:ilvl w:val="0"/>
        <w:numId w:val="7"/>
      </w:numPr>
      <w:spacing w:line="360" w:lineRule="auto"/>
      <w:ind w:firstLine="0"/>
    </w:pPr>
    <w:rPr>
      <w:sz w:val="24"/>
      <w:szCs w:val="20"/>
    </w:rPr>
  </w:style>
  <w:style w:type="paragraph" w:customStyle="1" w:styleId="120">
    <w:name w:val="正文 New"/>
    <w:next w:val="121"/>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1">
    <w:name w:val="正文缩进1"/>
    <w:basedOn w:val="1"/>
    <w:next w:val="14"/>
    <w:qFormat/>
    <w:uiPriority w:val="0"/>
    <w:pPr>
      <w:spacing w:line="360" w:lineRule="atLeast"/>
      <w:ind w:firstLine="482"/>
    </w:pPr>
    <w:rPr>
      <w:sz w:val="24"/>
    </w:rPr>
  </w:style>
  <w:style w:type="paragraph" w:customStyle="1" w:styleId="122">
    <w:name w:val="标题3-副本"/>
    <w:basedOn w:val="28"/>
    <w:qFormat/>
    <w:uiPriority w:val="0"/>
    <w:pPr>
      <w:numPr>
        <w:ilvl w:val="0"/>
        <w:numId w:val="0"/>
      </w:numPr>
      <w:ind w:left="840"/>
    </w:pPr>
  </w:style>
  <w:style w:type="paragraph" w:customStyle="1" w:styleId="123">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124">
    <w:name w:val="_Style 2"/>
    <w:basedOn w:val="1"/>
    <w:qFormat/>
    <w:uiPriority w:val="0"/>
  </w:style>
  <w:style w:type="paragraph" w:customStyle="1" w:styleId="125">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6">
    <w:name w:val="xl31"/>
    <w:basedOn w:val="1"/>
    <w:qFormat/>
    <w:uiPriority w:val="0"/>
    <w:pPr>
      <w:widowControl/>
      <w:spacing w:before="100" w:beforeAutospacing="1" w:after="100" w:afterAutospacing="1"/>
      <w:jc w:val="center"/>
    </w:pPr>
    <w:rPr>
      <w:b/>
      <w:bCs/>
      <w:kern w:val="0"/>
      <w:sz w:val="28"/>
      <w:szCs w:val="28"/>
    </w:rPr>
  </w:style>
  <w:style w:type="paragraph" w:customStyle="1" w:styleId="127">
    <w:name w:val="Char1"/>
    <w:basedOn w:val="1"/>
    <w:autoRedefine/>
    <w:qFormat/>
    <w:uiPriority w:val="0"/>
  </w:style>
  <w:style w:type="paragraph" w:customStyle="1" w:styleId="128">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9">
    <w:name w:val="Table Normal"/>
    <w:autoRedefine/>
    <w:unhideWhenUsed/>
    <w:qFormat/>
    <w:uiPriority w:val="0"/>
    <w:tblPr>
      <w:tblCellMar>
        <w:top w:w="0" w:type="dxa"/>
        <w:left w:w="0" w:type="dxa"/>
        <w:bottom w:w="0" w:type="dxa"/>
        <w:right w:w="0" w:type="dxa"/>
      </w:tblCellMar>
    </w:tblPr>
  </w:style>
  <w:style w:type="paragraph" w:customStyle="1" w:styleId="130">
    <w:name w:val="_Style 117"/>
    <w:basedOn w:val="1"/>
    <w:next w:val="1"/>
    <w:autoRedefine/>
    <w:qFormat/>
    <w:uiPriority w:val="0"/>
    <w:pPr>
      <w:pBdr>
        <w:bottom w:val="single" w:color="auto" w:sz="6" w:space="1"/>
      </w:pBdr>
      <w:jc w:val="center"/>
    </w:pPr>
    <w:rPr>
      <w:rFonts w:ascii="Arial"/>
      <w:vanish/>
      <w:sz w:val="16"/>
    </w:rPr>
  </w:style>
  <w:style w:type="paragraph" w:customStyle="1" w:styleId="131">
    <w:name w:val="_Style 118"/>
    <w:basedOn w:val="1"/>
    <w:next w:val="1"/>
    <w:autoRedefine/>
    <w:qFormat/>
    <w:uiPriority w:val="0"/>
    <w:pPr>
      <w:pBdr>
        <w:top w:val="single" w:color="auto" w:sz="6" w:space="1"/>
      </w:pBdr>
      <w:jc w:val="center"/>
    </w:pPr>
    <w:rPr>
      <w:rFonts w:ascii="Arial"/>
      <w:vanish/>
      <w:sz w:val="16"/>
    </w:rPr>
  </w:style>
  <w:style w:type="character" w:customStyle="1" w:styleId="132">
    <w:name w:val="num"/>
    <w:basedOn w:val="38"/>
    <w:autoRedefine/>
    <w:qFormat/>
    <w:uiPriority w:val="0"/>
    <w:rPr>
      <w:b/>
      <w:bCs/>
      <w:color w:val="FF7800"/>
    </w:rPr>
  </w:style>
  <w:style w:type="character" w:customStyle="1" w:styleId="133">
    <w:name w:val="a-desc"/>
    <w:basedOn w:val="38"/>
    <w:autoRedefine/>
    <w:qFormat/>
    <w:uiPriority w:val="0"/>
    <w:rPr>
      <w:color w:val="315EFB"/>
    </w:rPr>
  </w:style>
  <w:style w:type="character" w:customStyle="1" w:styleId="134">
    <w:name w:val="bg"/>
    <w:basedOn w:val="38"/>
    <w:autoRedefine/>
    <w:qFormat/>
    <w:uiPriority w:val="0"/>
    <w:rPr>
      <w:shd w:val="clear" w:color="auto" w:fill="000000"/>
    </w:rPr>
  </w:style>
  <w:style w:type="character" w:customStyle="1" w:styleId="135">
    <w:name w:val="bg1"/>
    <w:basedOn w:val="38"/>
    <w:qFormat/>
    <w:uiPriority w:val="0"/>
    <w:rPr>
      <w:shd w:val="clear" w:color="auto" w:fill="000000"/>
    </w:rPr>
  </w:style>
  <w:style w:type="character" w:customStyle="1" w:styleId="136">
    <w:name w:val="bg2"/>
    <w:basedOn w:val="38"/>
    <w:qFormat/>
    <w:uiPriority w:val="0"/>
    <w:rPr>
      <w:shd w:val="clear" w:color="auto" w:fill="000000"/>
    </w:rPr>
  </w:style>
  <w:style w:type="character" w:customStyle="1" w:styleId="137">
    <w:name w:val="iknow-qb-ad-sou-icon"/>
    <w:basedOn w:val="38"/>
    <w:autoRedefine/>
    <w:qFormat/>
    <w:uiPriority w:val="0"/>
  </w:style>
  <w:style w:type="character" w:customStyle="1" w:styleId="138">
    <w:name w:val="del-btn"/>
    <w:basedOn w:val="38"/>
    <w:autoRedefine/>
    <w:qFormat/>
    <w:uiPriority w:val="0"/>
  </w:style>
  <w:style w:type="character" w:customStyle="1" w:styleId="139">
    <w:name w:val="del-btn1"/>
    <w:basedOn w:val="38"/>
    <w:qFormat/>
    <w:uiPriority w:val="0"/>
  </w:style>
  <w:style w:type="character" w:customStyle="1" w:styleId="140">
    <w:name w:val="del-btn2"/>
    <w:basedOn w:val="38"/>
    <w:qFormat/>
    <w:uiPriority w:val="0"/>
  </w:style>
  <w:style w:type="character" w:customStyle="1" w:styleId="141">
    <w:name w:val="answer-title"/>
    <w:basedOn w:val="38"/>
    <w:qFormat/>
    <w:uiPriority w:val="0"/>
  </w:style>
  <w:style w:type="character" w:customStyle="1" w:styleId="142">
    <w:name w:val="new-icon2"/>
    <w:basedOn w:val="38"/>
    <w:qFormat/>
    <w:uiPriority w:val="0"/>
  </w:style>
  <w:style w:type="character" w:customStyle="1" w:styleId="143">
    <w:name w:val="new-icon3"/>
    <w:basedOn w:val="38"/>
    <w:qFormat/>
    <w:uiPriority w:val="0"/>
  </w:style>
  <w:style w:type="character" w:customStyle="1" w:styleId="144">
    <w:name w:val="green"/>
    <w:basedOn w:val="38"/>
    <w:qFormat/>
    <w:uiPriority w:val="0"/>
    <w:rPr>
      <w:color w:val="3B6FFF"/>
    </w:rPr>
  </w:style>
  <w:style w:type="character" w:customStyle="1" w:styleId="145">
    <w:name w:val="green1"/>
    <w:basedOn w:val="38"/>
    <w:autoRedefine/>
    <w:qFormat/>
    <w:uiPriority w:val="0"/>
    <w:rPr>
      <w:color w:val="3B6FFF"/>
    </w:rPr>
  </w:style>
  <w:style w:type="character" w:customStyle="1" w:styleId="146">
    <w:name w:val="green2"/>
    <w:basedOn w:val="38"/>
    <w:qFormat/>
    <w:uiPriority w:val="0"/>
    <w:rPr>
      <w:color w:val="4DC86F"/>
    </w:rPr>
  </w:style>
  <w:style w:type="character" w:customStyle="1" w:styleId="147">
    <w:name w:val="green3"/>
    <w:basedOn w:val="38"/>
    <w:qFormat/>
    <w:uiPriority w:val="0"/>
    <w:rPr>
      <w:color w:val="4DC86F"/>
    </w:rPr>
  </w:style>
  <w:style w:type="character" w:customStyle="1" w:styleId="148">
    <w:name w:val="answer-title2"/>
    <w:basedOn w:val="38"/>
    <w:qFormat/>
    <w:uiPriority w:val="0"/>
  </w:style>
  <w:style w:type="character" w:customStyle="1" w:styleId="149">
    <w:name w:val="new-icon"/>
    <w:basedOn w:val="38"/>
    <w:qFormat/>
    <w:uiPriority w:val="0"/>
  </w:style>
  <w:style w:type="character" w:customStyle="1" w:styleId="150">
    <w:name w:val="new-icon1"/>
    <w:basedOn w:val="38"/>
    <w:qFormat/>
    <w:uiPriority w:val="0"/>
  </w:style>
  <w:style w:type="paragraph" w:customStyle="1" w:styleId="151">
    <w:name w:val="Table Text"/>
    <w:basedOn w:val="1"/>
    <w:semiHidden/>
    <w:qFormat/>
    <w:uiPriority w:val="0"/>
    <w:rPr>
      <w:rFonts w:ascii="宋体" w:hAnsi="宋体" w:cs="宋体"/>
      <w:sz w:val="22"/>
      <w:szCs w:val="22"/>
      <w:lang w:eastAsia="en-US"/>
    </w:rPr>
  </w:style>
  <w:style w:type="paragraph" w:customStyle="1" w:styleId="15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3">
    <w:name w:val="一级标题"/>
    <w:basedOn w:val="1"/>
    <w:next w:val="16"/>
    <w:qFormat/>
    <w:uiPriority w:val="0"/>
    <w:pPr>
      <w:outlineLvl w:val="0"/>
    </w:pPr>
    <w:rPr>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14372</Words>
  <Characters>15628</Characters>
  <Lines>260</Lines>
  <Paragraphs>73</Paragraphs>
  <TotalTime>25</TotalTime>
  <ScaleCrop>false</ScaleCrop>
  <LinksUpToDate>false</LinksUpToDate>
  <CharactersWithSpaces>16136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2024-09-19T01:09:00Z</cp:lastPrinted>
  <dcterms:modified xsi:type="dcterms:W3CDTF">2026-05-08T08:57:23Z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F0D8159F97324C23B0659B78EC4E9B91_13</vt:lpwstr>
  </property>
  <property fmtid="{D5CDD505-2E9C-101B-9397-08002B2CF9AE}" pid="4" name="KSOTemplateDocerSaveRecord">
    <vt:lpwstr>eyJoZGlkIjoiZmQ5MGI3YTdkMjVkZTZjM2ZjZTQ5YjMxYTJjZjRlOWEiLCJ1c2VySWQiOiIzNjE4MjQ5In0=</vt:lpwstr>
  </property>
</Properties>
</file>